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cstheme="minorEastAsia"/>
          <w:b/>
          <w:bCs/>
          <w:color w:val="000000"/>
          <w:sz w:val="32"/>
          <w:szCs w:val="32"/>
        </w:rPr>
      </w:pPr>
      <w:r>
        <w:rPr>
          <w:rFonts w:hint="eastAsia" w:asciiTheme="minorEastAsia" w:hAnsiTheme="minorEastAsia" w:eastAsiaTheme="minorEastAsia" w:cstheme="minorEastAsia"/>
          <w:b/>
          <w:bCs/>
          <w:sz w:val="32"/>
          <w:szCs w:val="32"/>
        </w:rPr>
        <w:t>附件2：</w:t>
      </w:r>
      <w:r>
        <w:rPr>
          <w:rFonts w:hint="eastAsia" w:asciiTheme="minorEastAsia" w:hAnsiTheme="minorEastAsia" w:eastAsiaTheme="minorEastAsia" w:cstheme="minorEastAsia"/>
          <w:b/>
          <w:bCs/>
          <w:color w:val="000000"/>
          <w:sz w:val="32"/>
          <w:szCs w:val="32"/>
        </w:rPr>
        <w:t>北京市大龙伟业房地产开发股份有限公司2024年度</w:t>
      </w:r>
    </w:p>
    <w:p>
      <w:pPr>
        <w:ind w:firstLine="2249" w:firstLineChars="700"/>
        <w:rPr>
          <w:rFonts w:asciiTheme="minorEastAsia" w:hAnsiTheme="minorEastAsia" w:eastAsiaTheme="minorEastAsia" w:cstheme="minorEastAsia"/>
          <w:b/>
          <w:bCs/>
          <w:color w:val="000000"/>
          <w:sz w:val="32"/>
          <w:szCs w:val="32"/>
        </w:rPr>
      </w:pPr>
      <w:r>
        <w:rPr>
          <w:rFonts w:hint="eastAsia" w:asciiTheme="minorEastAsia" w:hAnsiTheme="minorEastAsia" w:eastAsiaTheme="minorEastAsia" w:cstheme="minorEastAsia"/>
          <w:b/>
          <w:bCs/>
          <w:color w:val="000000"/>
          <w:sz w:val="32"/>
          <w:szCs w:val="32"/>
        </w:rPr>
        <w:t>审计项目邀请招标文件</w:t>
      </w:r>
    </w:p>
    <w:p>
      <w:pPr>
        <w:ind w:firstLine="1285" w:firstLineChars="400"/>
        <w:rPr>
          <w:rFonts w:asciiTheme="minorEastAsia" w:hAnsiTheme="minorEastAsia" w:eastAsiaTheme="minorEastAsia" w:cstheme="minorEastAsia"/>
          <w:b/>
          <w:bCs/>
          <w:color w:val="000000"/>
          <w:sz w:val="32"/>
          <w:szCs w:val="32"/>
        </w:rPr>
      </w:pPr>
    </w:p>
    <w:p>
      <w:pPr>
        <w:jc w:val="center"/>
        <w:rPr>
          <w:rFonts w:ascii="楷体" w:hAnsi="楷体" w:eastAsia="楷体" w:cs="楷体"/>
          <w:color w:val="000000"/>
          <w:sz w:val="44"/>
          <w:szCs w:val="44"/>
        </w:rPr>
      </w:pPr>
      <w:r>
        <w:rPr>
          <w:rFonts w:hint="eastAsia" w:ascii="楷体" w:hAnsi="楷体" w:eastAsia="楷体" w:cs="楷体"/>
          <w:color w:val="000000"/>
          <w:sz w:val="44"/>
          <w:szCs w:val="44"/>
        </w:rPr>
        <w:t>北京市大龙伟业房地产开发股份有限公司</w:t>
      </w:r>
    </w:p>
    <w:p>
      <w:pPr>
        <w:jc w:val="center"/>
        <w:rPr>
          <w:rFonts w:ascii="楷体" w:hAnsi="楷体" w:eastAsia="楷体" w:cs="楷体"/>
          <w:color w:val="000000"/>
          <w:sz w:val="44"/>
          <w:szCs w:val="44"/>
        </w:rPr>
      </w:pPr>
      <w:r>
        <w:rPr>
          <w:rFonts w:hint="eastAsia" w:ascii="楷体" w:hAnsi="楷体" w:eastAsia="楷体" w:cs="楷体"/>
          <w:color w:val="000000"/>
          <w:sz w:val="44"/>
          <w:szCs w:val="44"/>
        </w:rPr>
        <w:t>2024年度审计项目邀请招标文件</w:t>
      </w:r>
    </w:p>
    <w:p>
      <w:pPr>
        <w:rPr>
          <w:rFonts w:ascii="楷体" w:hAnsi="楷体" w:eastAsia="楷体" w:cs="楷体"/>
          <w:color w:val="000000"/>
          <w:sz w:val="28"/>
          <w:szCs w:val="28"/>
        </w:rPr>
      </w:pPr>
    </w:p>
    <w:p>
      <w:pPr>
        <w:rPr>
          <w:rFonts w:ascii="楷体" w:hAnsi="楷体" w:eastAsia="楷体" w:cs="楷体"/>
          <w:color w:val="000000"/>
          <w:sz w:val="28"/>
          <w:szCs w:val="28"/>
        </w:rPr>
      </w:pPr>
      <w:r>
        <w:rPr>
          <w:rFonts w:hint="eastAsia" w:ascii="楷体" w:hAnsi="楷体" w:eastAsia="楷体" w:cs="楷体"/>
          <w:color w:val="000000"/>
          <w:sz w:val="28"/>
          <w:szCs w:val="28"/>
        </w:rPr>
        <w:t>各意向合作方：</w:t>
      </w:r>
    </w:p>
    <w:p>
      <w:p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 xml:space="preserve">我公司拟就《2024年度财务报表审计项目、2024年度财务报表内部控制审计项目》进行邀请招标，如贵单位有意参与本项目，请务必详细阅读和理解本项目的招标文件及所有附件(招标文件免费领取)。并根据招标文件的要求准备响应文件。 </w:t>
      </w:r>
    </w:p>
    <w:p>
      <w:pPr>
        <w:ind w:firstLine="560" w:firstLineChars="200"/>
        <w:rPr>
          <w:rFonts w:ascii="楷体" w:hAnsi="楷体" w:eastAsia="楷体" w:cs="楷体"/>
          <w:color w:val="000000"/>
          <w:sz w:val="28"/>
          <w:szCs w:val="28"/>
        </w:rPr>
      </w:pPr>
    </w:p>
    <w:p>
      <w:p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 xml:space="preserve">投标事项咨询： </w:t>
      </w:r>
    </w:p>
    <w:p>
      <w:pPr>
        <w:ind w:firstLine="840" w:firstLineChars="300"/>
        <w:rPr>
          <w:rFonts w:ascii="楷体" w:hAnsi="楷体" w:eastAsia="楷体" w:cs="楷体"/>
          <w:color w:val="000000"/>
          <w:sz w:val="28"/>
          <w:szCs w:val="28"/>
        </w:rPr>
      </w:pPr>
      <w:r>
        <w:rPr>
          <w:rFonts w:hint="eastAsia" w:ascii="楷体" w:hAnsi="楷体" w:eastAsia="楷体" w:cs="楷体"/>
          <w:color w:val="000000"/>
          <w:sz w:val="28"/>
          <w:szCs w:val="28"/>
        </w:rPr>
        <w:t>尚丹峰      办公室：010-69440513</w:t>
      </w:r>
    </w:p>
    <w:p>
      <w:pPr>
        <w:ind w:firstLine="560" w:firstLineChars="200"/>
        <w:rPr>
          <w:rFonts w:ascii="楷体" w:hAnsi="楷体" w:eastAsia="楷体" w:cs="楷体"/>
          <w:color w:val="000000"/>
          <w:sz w:val="28"/>
          <w:szCs w:val="28"/>
        </w:rPr>
      </w:pPr>
    </w:p>
    <w:p>
      <w:p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 xml:space="preserve">领取标书的方式： </w:t>
      </w:r>
    </w:p>
    <w:p>
      <w:p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1.现场领取：</w:t>
      </w:r>
    </w:p>
    <w:p>
      <w:p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领取地址：北京市大龙伟业房地产开发股份有限公司财务部办公室。</w:t>
      </w:r>
    </w:p>
    <w:p>
      <w:p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2.电子版领取：</w:t>
      </w:r>
    </w:p>
    <w:p>
      <w:p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致电投标事项咨询电话，确认领取电子版并告知电子邮箱。</w:t>
      </w:r>
    </w:p>
    <w:p>
      <w:p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 xml:space="preserve">3.响应文件送达地址： </w:t>
      </w:r>
    </w:p>
    <w:p>
      <w:p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北京市大龙伟业房地产开发股份有限公司</w:t>
      </w:r>
    </w:p>
    <w:p>
      <w:p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北京市顺义区府前东街甲2号</w:t>
      </w:r>
    </w:p>
    <w:p>
      <w:p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邮编：101300</w:t>
      </w:r>
    </w:p>
    <w:p>
      <w:p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联系人： 尚丹峰 电话：010-69440513</w:t>
      </w:r>
    </w:p>
    <w:p>
      <w:p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接收标书截止日期：2024年 4月12日10:00。</w:t>
      </w:r>
    </w:p>
    <w:p>
      <w:pPr>
        <w:ind w:left="561" w:leftChars="267"/>
        <w:rPr>
          <w:rFonts w:ascii="楷体" w:hAnsi="楷体" w:eastAsia="楷体" w:cs="楷体"/>
          <w:color w:val="000000"/>
          <w:sz w:val="28"/>
          <w:szCs w:val="28"/>
        </w:rPr>
      </w:pPr>
      <w:r>
        <w:rPr>
          <w:rFonts w:hint="eastAsia" w:ascii="楷体" w:hAnsi="楷体" w:eastAsia="楷体" w:cs="楷体"/>
          <w:color w:val="000000"/>
          <w:sz w:val="28"/>
          <w:szCs w:val="28"/>
        </w:rPr>
        <w:t>评标时间： 2024年4月12日13:30分。</w:t>
      </w:r>
    </w:p>
    <w:p>
      <w:p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评标地点：北京市大龙伟业房地产开发股份有限公司</w:t>
      </w:r>
    </w:p>
    <w:p>
      <w:pPr>
        <w:ind w:left="561" w:leftChars="267" w:firstLine="1540" w:firstLineChars="550"/>
        <w:rPr>
          <w:rFonts w:ascii="楷体" w:hAnsi="楷体" w:eastAsia="楷体" w:cs="楷体"/>
          <w:color w:val="000000"/>
          <w:sz w:val="28"/>
          <w:szCs w:val="28"/>
        </w:rPr>
      </w:pPr>
      <w:r>
        <w:rPr>
          <w:rFonts w:hint="eastAsia" w:ascii="楷体" w:hAnsi="楷体" w:eastAsia="楷体" w:cs="楷体"/>
          <w:color w:val="000000"/>
          <w:sz w:val="28"/>
          <w:szCs w:val="28"/>
        </w:rPr>
        <w:t>三楼会议室。</w:t>
      </w:r>
    </w:p>
    <w:p>
      <w:pPr>
        <w:rPr>
          <w:rFonts w:ascii="楷体" w:hAnsi="楷体" w:eastAsia="楷体" w:cs="楷体"/>
          <w:color w:val="000000"/>
          <w:sz w:val="28"/>
          <w:szCs w:val="28"/>
        </w:rPr>
      </w:pPr>
    </w:p>
    <w:p>
      <w:p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 xml:space="preserve">附件：1、招标事项说明 </w:t>
      </w:r>
    </w:p>
    <w:p>
      <w:pPr>
        <w:numPr>
          <w:ilvl w:val="0"/>
          <w:numId w:val="1"/>
        </w:numPr>
        <w:ind w:firstLine="1400"/>
        <w:rPr>
          <w:rFonts w:ascii="楷体" w:hAnsi="楷体" w:eastAsia="楷体" w:cs="楷体"/>
          <w:color w:val="000000"/>
          <w:sz w:val="28"/>
          <w:szCs w:val="28"/>
        </w:rPr>
      </w:pPr>
      <w:r>
        <w:rPr>
          <w:rFonts w:hint="eastAsia" w:ascii="楷体" w:hAnsi="楷体" w:eastAsia="楷体" w:cs="楷体"/>
          <w:color w:val="000000"/>
          <w:sz w:val="28"/>
          <w:szCs w:val="28"/>
        </w:rPr>
        <w:t>评标方法和标准</w:t>
      </w:r>
    </w:p>
    <w:p>
      <w:pPr>
        <w:numPr>
          <w:ilvl w:val="0"/>
          <w:numId w:val="1"/>
        </w:numPr>
        <w:ind w:firstLine="1400"/>
        <w:rPr>
          <w:rFonts w:ascii="楷体" w:hAnsi="楷体" w:eastAsia="楷体" w:cs="楷体"/>
          <w:color w:val="000000"/>
          <w:sz w:val="28"/>
          <w:szCs w:val="28"/>
        </w:rPr>
      </w:pPr>
      <w:r>
        <w:rPr>
          <w:rFonts w:hint="eastAsia" w:ascii="楷体" w:hAnsi="楷体" w:eastAsia="楷体" w:cs="楷体"/>
          <w:color w:val="000000"/>
          <w:sz w:val="28"/>
          <w:szCs w:val="28"/>
        </w:rPr>
        <w:t xml:space="preserve">响应文件格式和内容要求 </w:t>
      </w:r>
    </w:p>
    <w:p>
      <w:pPr>
        <w:numPr>
          <w:ilvl w:val="0"/>
          <w:numId w:val="1"/>
        </w:numPr>
        <w:ind w:firstLine="1400"/>
        <w:rPr>
          <w:rFonts w:ascii="楷体" w:hAnsi="楷体" w:eastAsia="楷体" w:cs="楷体"/>
          <w:color w:val="000000"/>
          <w:sz w:val="28"/>
          <w:szCs w:val="28"/>
        </w:rPr>
      </w:pPr>
      <w:r>
        <w:rPr>
          <w:rFonts w:hint="eastAsia" w:ascii="楷体" w:hAnsi="楷体" w:eastAsia="楷体" w:cs="楷体"/>
          <w:color w:val="000000"/>
          <w:sz w:val="28"/>
          <w:szCs w:val="28"/>
        </w:rPr>
        <w:t>投标报价表</w:t>
      </w:r>
    </w:p>
    <w:p>
      <w:pPr>
        <w:numPr>
          <w:ilvl w:val="0"/>
          <w:numId w:val="1"/>
        </w:numPr>
        <w:ind w:firstLine="1400"/>
        <w:rPr>
          <w:rFonts w:ascii="楷体" w:hAnsi="楷体" w:eastAsia="楷体" w:cs="楷体"/>
          <w:color w:val="000000"/>
          <w:sz w:val="28"/>
          <w:szCs w:val="28"/>
        </w:rPr>
      </w:pPr>
      <w:r>
        <w:rPr>
          <w:rFonts w:hint="eastAsia" w:ascii="楷体" w:hAnsi="楷体" w:eastAsia="楷体" w:cs="楷体"/>
          <w:color w:val="000000"/>
          <w:sz w:val="28"/>
          <w:szCs w:val="28"/>
        </w:rPr>
        <w:t>法定代表人资格证明书</w:t>
      </w:r>
    </w:p>
    <w:p>
      <w:pPr>
        <w:numPr>
          <w:ilvl w:val="0"/>
          <w:numId w:val="1"/>
        </w:numPr>
        <w:ind w:firstLine="1400"/>
        <w:rPr>
          <w:rFonts w:ascii="楷体" w:hAnsi="楷体" w:eastAsia="楷体" w:cs="楷体"/>
          <w:color w:val="000000"/>
          <w:sz w:val="28"/>
          <w:szCs w:val="28"/>
        </w:rPr>
      </w:pPr>
      <w:r>
        <w:rPr>
          <w:rFonts w:hint="eastAsia" w:ascii="楷体" w:hAnsi="楷体" w:eastAsia="楷体" w:cs="楷体"/>
          <w:color w:val="000000"/>
          <w:sz w:val="28"/>
          <w:szCs w:val="28"/>
        </w:rPr>
        <w:t>法定代表人授权委托书</w:t>
      </w:r>
    </w:p>
    <w:p>
      <w:pPr>
        <w:numPr>
          <w:ilvl w:val="0"/>
          <w:numId w:val="1"/>
        </w:numPr>
        <w:ind w:firstLine="1400"/>
        <w:rPr>
          <w:rStyle w:val="8"/>
          <w:rFonts w:ascii="楷体" w:hAnsi="楷体" w:eastAsia="楷体" w:cs="楷体"/>
          <w:color w:val="000000"/>
          <w:sz w:val="28"/>
          <w:szCs w:val="28"/>
        </w:rPr>
      </w:pPr>
      <w:r>
        <w:rPr>
          <w:rFonts w:hint="eastAsia" w:ascii="楷体" w:hAnsi="楷体" w:eastAsia="楷体" w:cs="楷体"/>
          <w:color w:val="000000"/>
          <w:sz w:val="28"/>
          <w:szCs w:val="28"/>
        </w:rPr>
        <w:t>服务承诺书</w:t>
      </w:r>
    </w:p>
    <w:p>
      <w:pPr>
        <w:rPr>
          <w:rFonts w:ascii="楷体" w:hAnsi="楷体" w:eastAsia="楷体" w:cs="楷体"/>
          <w:color w:val="000000"/>
          <w:sz w:val="28"/>
          <w:szCs w:val="28"/>
        </w:rPr>
      </w:pPr>
    </w:p>
    <w:p>
      <w:pPr>
        <w:ind w:firstLine="3080" w:firstLineChars="1100"/>
        <w:rPr>
          <w:rFonts w:ascii="楷体" w:hAnsi="楷体" w:eastAsia="楷体" w:cs="楷体"/>
          <w:color w:val="000000"/>
          <w:sz w:val="28"/>
          <w:szCs w:val="28"/>
        </w:rPr>
      </w:pPr>
      <w:r>
        <w:rPr>
          <w:rFonts w:hint="eastAsia" w:ascii="楷体" w:hAnsi="楷体" w:eastAsia="楷体" w:cs="楷体"/>
          <w:color w:val="000000"/>
          <w:sz w:val="28"/>
          <w:szCs w:val="28"/>
        </w:rPr>
        <w:t>北京市大龙伟业房地产开发股份有限公司</w:t>
      </w:r>
    </w:p>
    <w:p>
      <w:pPr>
        <w:ind w:right="560" w:firstLine="4760" w:firstLineChars="1700"/>
        <w:rPr>
          <w:rFonts w:ascii="楷体" w:hAnsi="楷体" w:eastAsia="楷体" w:cs="楷体"/>
          <w:color w:val="000000"/>
          <w:sz w:val="28"/>
          <w:szCs w:val="28"/>
        </w:rPr>
      </w:pPr>
      <w:r>
        <w:rPr>
          <w:rFonts w:hint="eastAsia" w:ascii="楷体" w:hAnsi="楷体" w:eastAsia="楷体" w:cs="楷体"/>
          <w:color w:val="000000"/>
          <w:sz w:val="28"/>
          <w:szCs w:val="28"/>
        </w:rPr>
        <w:t xml:space="preserve">2024年3月20日 </w:t>
      </w:r>
    </w:p>
    <w:p>
      <w:pPr>
        <w:rPr>
          <w:rFonts w:ascii="楷体" w:hAnsi="楷体" w:eastAsia="楷体" w:cs="楷体"/>
          <w:color w:val="000000"/>
          <w:sz w:val="28"/>
          <w:szCs w:val="28"/>
        </w:rPr>
      </w:pPr>
      <w:r>
        <w:rPr>
          <w:rFonts w:hint="eastAsia" w:ascii="楷体" w:hAnsi="楷体" w:eastAsia="楷体" w:cs="楷体"/>
          <w:color w:val="000000"/>
          <w:sz w:val="28"/>
          <w:szCs w:val="28"/>
        </w:rPr>
        <w:br w:type="page"/>
      </w:r>
      <w:r>
        <w:rPr>
          <w:rFonts w:hint="eastAsia" w:ascii="楷体" w:hAnsi="楷体" w:eastAsia="楷体" w:cs="楷体"/>
          <w:color w:val="000000"/>
          <w:sz w:val="28"/>
          <w:szCs w:val="28"/>
        </w:rPr>
        <w:t>附件 1：</w:t>
      </w:r>
    </w:p>
    <w:p>
      <w:pPr>
        <w:jc w:val="center"/>
        <w:rPr>
          <w:rFonts w:ascii="楷体" w:hAnsi="楷体" w:eastAsia="楷体" w:cs="楷体"/>
          <w:color w:val="000000"/>
          <w:sz w:val="44"/>
          <w:szCs w:val="44"/>
        </w:rPr>
      </w:pPr>
      <w:r>
        <w:rPr>
          <w:rFonts w:hint="eastAsia" w:ascii="楷体" w:hAnsi="楷体" w:eastAsia="楷体" w:cs="楷体"/>
          <w:color w:val="000000"/>
          <w:sz w:val="44"/>
          <w:szCs w:val="44"/>
        </w:rPr>
        <w:t>招标事项说明</w:t>
      </w:r>
    </w:p>
    <w:p>
      <w:pPr>
        <w:ind w:firstLine="560" w:firstLineChars="200"/>
        <w:rPr>
          <w:rFonts w:ascii="楷体" w:hAnsi="楷体" w:eastAsia="楷体" w:cs="楷体"/>
          <w:color w:val="000000"/>
          <w:sz w:val="28"/>
          <w:szCs w:val="28"/>
        </w:rPr>
      </w:pPr>
    </w:p>
    <w:p>
      <w:p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 xml:space="preserve">为方便陈述，北京市大龙伟业房地产开发股份有限公司简称“招标方”，参与投标的各意向合作方简称“投标方”。 </w:t>
      </w:r>
    </w:p>
    <w:p>
      <w:pPr>
        <w:rPr>
          <w:rFonts w:ascii="楷体" w:hAnsi="楷体" w:eastAsia="楷体" w:cs="楷体"/>
          <w:color w:val="000000"/>
          <w:sz w:val="28"/>
          <w:szCs w:val="28"/>
        </w:rPr>
      </w:pPr>
      <w:r>
        <w:rPr>
          <w:rFonts w:hint="eastAsia" w:ascii="楷体" w:hAnsi="楷体" w:eastAsia="楷体" w:cs="楷体"/>
          <w:color w:val="000000"/>
          <w:sz w:val="28"/>
          <w:szCs w:val="28"/>
        </w:rPr>
        <w:t xml:space="preserve">一、招标标的 </w:t>
      </w:r>
    </w:p>
    <w:p>
      <w:p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北京市大龙伟业房地产开发股份有限公司2024年度财务报表审计、2024年度财务报表内部控制审计会计师事务所选聘项目，具体信息如下：</w:t>
      </w:r>
    </w:p>
    <w:p>
      <w:pPr>
        <w:pStyle w:val="9"/>
        <w:ind w:left="720" w:firstLine="0" w:firstLineChars="0"/>
        <w:rPr>
          <w:rFonts w:ascii="楷体" w:hAnsi="楷体" w:eastAsia="楷体" w:cs="楷体"/>
          <w:color w:val="000000"/>
          <w:sz w:val="28"/>
          <w:szCs w:val="28"/>
        </w:rPr>
      </w:pPr>
      <w:r>
        <w:rPr>
          <w:rFonts w:hint="eastAsia" w:ascii="楷体" w:hAnsi="楷体" w:eastAsia="楷体" w:cs="楷体"/>
          <w:color w:val="000000"/>
          <w:sz w:val="28"/>
          <w:szCs w:val="28"/>
        </w:rPr>
        <w:t>大龙伟业公司基本情况：</w:t>
      </w:r>
    </w:p>
    <w:p>
      <w:pPr>
        <w:pStyle w:val="4"/>
        <w:spacing w:line="560" w:lineRule="exact"/>
        <w:ind w:left="0" w:leftChars="0"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1、经营规模：截止到2023年3季度集团整体资产总额37.60亿元、负债总额14.20亿元，所有者权益23.4亿元，营业收入5.32亿元。营业成本4.54亿元，利润总额0.16万元。</w:t>
      </w:r>
    </w:p>
    <w:p>
      <w:pPr>
        <w:pStyle w:val="4"/>
        <w:spacing w:line="560" w:lineRule="exact"/>
        <w:ind w:left="0" w:leftChars="0"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2、审计单位户数：母公司、2家子公司、8家孙公司共计11户。</w:t>
      </w:r>
    </w:p>
    <w:p>
      <w:pPr>
        <w:tabs>
          <w:tab w:val="left" w:pos="2160"/>
        </w:tabs>
        <w:spacing w:line="360" w:lineRule="auto"/>
        <w:jc w:val="left"/>
        <w:rPr>
          <w:rFonts w:ascii="楷体" w:hAnsi="楷体" w:eastAsia="楷体" w:cs="楷体"/>
          <w:color w:val="000000"/>
          <w:sz w:val="28"/>
          <w:szCs w:val="28"/>
        </w:rPr>
      </w:pPr>
      <w:r>
        <w:rPr>
          <w:rFonts w:hint="eastAsia" w:ascii="楷体" w:hAnsi="楷体" w:eastAsia="楷体" w:cs="楷体"/>
          <w:color w:val="000000"/>
          <w:sz w:val="28"/>
          <w:szCs w:val="28"/>
        </w:rPr>
        <w:t>需出具合并财务报表审计报告、内部控制审计报告、非经营性资金占用及其他关联资金往来情况汇总表的专项说明、关于营业收入扣除情况的专项核查意见、3家子公司财务报表审计报告。</w:t>
      </w:r>
    </w:p>
    <w:p>
      <w:pPr>
        <w:rPr>
          <w:rFonts w:ascii="楷体" w:hAnsi="楷体" w:eastAsia="楷体" w:cs="楷体"/>
          <w:color w:val="000000"/>
          <w:sz w:val="28"/>
          <w:szCs w:val="28"/>
        </w:rPr>
      </w:pPr>
      <w:r>
        <w:rPr>
          <w:rFonts w:hint="eastAsia" w:ascii="楷体" w:hAnsi="楷体" w:eastAsia="楷体" w:cs="楷体"/>
          <w:color w:val="000000"/>
          <w:sz w:val="28"/>
          <w:szCs w:val="28"/>
        </w:rPr>
        <w:t xml:space="preserve">二、其他事项说明 </w:t>
      </w:r>
    </w:p>
    <w:p>
      <w:pPr>
        <w:numPr>
          <w:ilvl w:val="0"/>
          <w:numId w:val="2"/>
        </w:num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投标保证金数额为: 无 。</w:t>
      </w:r>
    </w:p>
    <w:p>
      <w:pPr>
        <w:numPr>
          <w:ilvl w:val="0"/>
          <w:numId w:val="2"/>
        </w:numPr>
        <w:ind w:firstLine="560" w:firstLineChars="200"/>
        <w:rPr>
          <w:rFonts w:ascii="楷体" w:hAnsi="楷体" w:eastAsia="楷体" w:cs="楷体"/>
          <w:sz w:val="28"/>
          <w:szCs w:val="28"/>
        </w:rPr>
      </w:pPr>
      <w:r>
        <w:rPr>
          <w:rFonts w:hint="eastAsia" w:ascii="楷体" w:hAnsi="楷体" w:eastAsia="楷体" w:cs="楷体"/>
          <w:sz w:val="28"/>
          <w:szCs w:val="28"/>
        </w:rPr>
        <w:t>中标方须在接到中标通知书后3日内，与招标方确定是否合作。</w:t>
      </w:r>
    </w:p>
    <w:p>
      <w:pPr>
        <w:numPr>
          <w:ilvl w:val="0"/>
          <w:numId w:val="2"/>
        </w:num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招标控制价：本项目招标控制价为：</w:t>
      </w:r>
      <w:r>
        <w:rPr>
          <w:rFonts w:ascii="Arial" w:hAnsi="Arial" w:eastAsia="楷体" w:cs="Arial"/>
          <w:color w:val="000000"/>
          <w:sz w:val="28"/>
          <w:szCs w:val="28"/>
        </w:rPr>
        <w:t>¥</w:t>
      </w:r>
      <w:r>
        <w:rPr>
          <w:rFonts w:hint="eastAsia" w:ascii="楷体" w:hAnsi="楷体" w:eastAsia="楷体" w:cs="楷体"/>
          <w:color w:val="000000"/>
          <w:sz w:val="28"/>
          <w:szCs w:val="28"/>
        </w:rPr>
        <w:t>75万元，参与投标单位所报价不得超过招标控制价，超过按废标处理。控制价格主要依据以往年度审计费用价格及行业基准价。</w:t>
      </w:r>
    </w:p>
    <w:p>
      <w:pPr>
        <w:numPr>
          <w:ilvl w:val="0"/>
          <w:numId w:val="2"/>
        </w:num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投标报价: 项目范围为上述标的范围内的全部工作，报价应包含税费等,投标人应根据其投标报价的构成（年度财务报表审计、年度财务报表内部控制审计）在报价里提供分项报价明细，格式由投标人自行制表填写。</w:t>
      </w:r>
    </w:p>
    <w:p>
      <w:pPr>
        <w:numPr>
          <w:ilvl w:val="0"/>
          <w:numId w:val="2"/>
        </w:num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无论投标方是否中标，投标方参与招标程序的所有费用均由其自行承担。</w:t>
      </w:r>
    </w:p>
    <w:p>
      <w:pPr>
        <w:numPr>
          <w:ilvl w:val="0"/>
          <w:numId w:val="2"/>
        </w:num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任何要求对招标文件进行澄清的潜在投标方均应在接收标书截止日期3月22日前，以书面方式向招标方提出，由招标方予以书面答复。</w:t>
      </w:r>
    </w:p>
    <w:p>
      <w:pPr>
        <w:numPr>
          <w:ilvl w:val="0"/>
          <w:numId w:val="2"/>
        </w:num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发出中标通知书后6个月内，中标单位与招标方签订正规的《2024年度财务报表审计合同》、《2024年度财务报表内部控制审计合同》。具体事宜以双方签订合同的约定内容为准。</w:t>
      </w:r>
    </w:p>
    <w:p>
      <w:pPr>
        <w:rPr>
          <w:rFonts w:ascii="楷体" w:hAnsi="楷体" w:eastAsia="楷体" w:cs="楷体"/>
          <w:color w:val="000000"/>
          <w:sz w:val="28"/>
          <w:szCs w:val="28"/>
        </w:rPr>
      </w:pPr>
      <w:r>
        <w:rPr>
          <w:rFonts w:hint="eastAsia" w:ascii="楷体" w:hAnsi="楷体" w:eastAsia="楷体" w:cs="楷体"/>
          <w:color w:val="000000"/>
          <w:sz w:val="28"/>
          <w:szCs w:val="28"/>
        </w:rPr>
        <w:t xml:space="preserve">三、邀标程序 </w:t>
      </w:r>
    </w:p>
    <w:p>
      <w:p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 xml:space="preserve">本次邀请招标主要程序如下： </w:t>
      </w:r>
    </w:p>
    <w:p>
      <w:pPr>
        <w:numPr>
          <w:ilvl w:val="0"/>
          <w:numId w:val="3"/>
        </w:num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 xml:space="preserve">投标方按本邀请函要求向招标方提交响应文件。 </w:t>
      </w:r>
    </w:p>
    <w:p>
      <w:pPr>
        <w:numPr>
          <w:ilvl w:val="0"/>
          <w:numId w:val="3"/>
        </w:num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招标方评标。</w:t>
      </w:r>
    </w:p>
    <w:p>
      <w:pPr>
        <w:numPr>
          <w:ilvl w:val="0"/>
          <w:numId w:val="3"/>
        </w:num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招标方在评标结束后3日内发出中标通知，并公示。</w:t>
      </w:r>
    </w:p>
    <w:p>
      <w:pPr>
        <w:rPr>
          <w:rFonts w:ascii="楷体" w:hAnsi="楷体" w:eastAsia="楷体" w:cs="楷体"/>
          <w:color w:val="000000"/>
          <w:sz w:val="28"/>
          <w:szCs w:val="28"/>
        </w:rPr>
      </w:pPr>
      <w:r>
        <w:rPr>
          <w:rFonts w:hint="eastAsia" w:ascii="楷体" w:hAnsi="楷体" w:eastAsia="楷体" w:cs="楷体"/>
          <w:color w:val="000000"/>
          <w:sz w:val="28"/>
          <w:szCs w:val="28"/>
        </w:rPr>
        <w:t xml:space="preserve">四、对响应文件的要求 </w:t>
      </w:r>
    </w:p>
    <w:p>
      <w:p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投标方应按一式五份提交响应文件（响应文件构成详见附件 ）。</w:t>
      </w:r>
    </w:p>
    <w:p>
      <w:pPr>
        <w:rPr>
          <w:rFonts w:ascii="楷体" w:hAnsi="楷体" w:eastAsia="楷体" w:cs="楷体"/>
          <w:color w:val="000000"/>
          <w:sz w:val="28"/>
          <w:szCs w:val="28"/>
        </w:rPr>
      </w:pPr>
      <w:r>
        <w:rPr>
          <w:rFonts w:hint="eastAsia" w:ascii="楷体" w:hAnsi="楷体" w:eastAsia="楷体" w:cs="楷体"/>
          <w:color w:val="000000"/>
          <w:sz w:val="28"/>
          <w:szCs w:val="28"/>
        </w:rPr>
        <w:t xml:space="preserve">五、声明 </w:t>
      </w:r>
    </w:p>
    <w:p>
      <w:pPr>
        <w:numPr>
          <w:ilvl w:val="0"/>
          <w:numId w:val="4"/>
        </w:num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 xml:space="preserve">受邀公司未在响应文件中提及且未明确书面提出异议的事项，按本邀请函的要求执行。 </w:t>
      </w:r>
    </w:p>
    <w:p>
      <w:pPr>
        <w:numPr>
          <w:ilvl w:val="0"/>
          <w:numId w:val="4"/>
        </w:num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 xml:space="preserve">招标方在任何时候均有权解释或调整本邀请函及附件内容。 </w:t>
      </w:r>
    </w:p>
    <w:p>
      <w:pPr>
        <w:numPr>
          <w:ilvl w:val="0"/>
          <w:numId w:val="4"/>
        </w:num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本邀请函及附件受法律保护，所有文件仅限于受邀公司参加本次邀请招标使用，任何用于其他目的之复制或引用均应事先获得招标方书面许可。受邀公司应对此次投标中招标方提供的任何信息及文件负保密义务，如因受邀公司泄密造成招标方损失，招标方将追究其法律责任。</w:t>
      </w:r>
    </w:p>
    <w:p>
      <w:pPr>
        <w:numPr>
          <w:ilvl w:val="0"/>
          <w:numId w:val="4"/>
        </w:num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 xml:space="preserve">受邀公司没有按规定时间和内容提供材料的，视为放弃；受邀公司提供虚假材料或文件存在其他有违商业诚信的行为时，自动丧失参加资格。 </w:t>
      </w:r>
    </w:p>
    <w:p>
      <w:pPr>
        <w:numPr>
          <w:ilvl w:val="0"/>
          <w:numId w:val="4"/>
        </w:num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 xml:space="preserve">受邀公司提供的文档、陈述和演示均应使用中文。 </w:t>
      </w:r>
    </w:p>
    <w:p>
      <w:pPr>
        <w:numPr>
          <w:ilvl w:val="0"/>
          <w:numId w:val="4"/>
        </w:num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 xml:space="preserve">受邀公司不得以任何理由要求退还已提交的响应文件。 </w:t>
      </w:r>
    </w:p>
    <w:p>
      <w:pPr>
        <w:numPr>
          <w:ilvl w:val="0"/>
          <w:numId w:val="4"/>
        </w:num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 xml:space="preserve">对本邀请函及附件存有疑问的，请按前文时间要求向招标方询问。 </w:t>
      </w:r>
    </w:p>
    <w:p>
      <w:pPr>
        <w:rPr>
          <w:rFonts w:ascii="楷体" w:hAnsi="楷体" w:eastAsia="楷体" w:cs="楷体"/>
          <w:color w:val="000000"/>
          <w:sz w:val="28"/>
          <w:szCs w:val="28"/>
        </w:rPr>
      </w:pPr>
      <w:r>
        <w:rPr>
          <w:rFonts w:hint="eastAsia" w:ascii="楷体" w:hAnsi="楷体" w:eastAsia="楷体" w:cs="楷体"/>
          <w:color w:val="000000"/>
          <w:sz w:val="28"/>
          <w:szCs w:val="28"/>
        </w:rPr>
        <w:t xml:space="preserve">六、反商业贿赂的特别声明 </w:t>
      </w:r>
    </w:p>
    <w:p>
      <w:p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 xml:space="preserve">在招投标过程中，投标方不得安排招标方业务人员参加任何可能对公正履行职责有影响的活动，提供任何形式馈赠的礼品、礼金、有价证券等，一经发现，视受邀公司自动弃权。 </w:t>
      </w:r>
      <w:r>
        <w:rPr>
          <w:rFonts w:hint="eastAsia" w:ascii="楷体" w:hAnsi="楷体" w:eastAsia="楷体" w:cs="楷体"/>
          <w:color w:val="000000"/>
          <w:sz w:val="28"/>
          <w:szCs w:val="28"/>
        </w:rPr>
        <w:br w:type="page"/>
      </w:r>
      <w:r>
        <w:rPr>
          <w:rFonts w:hint="eastAsia" w:ascii="宋体" w:hAnsi="宋体"/>
          <w:b/>
          <w:sz w:val="32"/>
          <w:lang w:val="zh-CN"/>
        </w:rPr>
        <w:t>附件</w:t>
      </w:r>
      <w:r>
        <w:rPr>
          <w:rFonts w:hint="eastAsia" w:ascii="宋体" w:hAnsi="宋体"/>
          <w:b/>
          <w:sz w:val="32"/>
        </w:rPr>
        <w:t>2</w:t>
      </w:r>
      <w:r>
        <w:rPr>
          <w:rFonts w:hint="eastAsia" w:ascii="宋体" w:hAnsi="宋体"/>
          <w:b/>
          <w:sz w:val="32"/>
          <w:lang w:val="zh-CN"/>
        </w:rPr>
        <w:t xml:space="preserve">评标办法 </w:t>
      </w:r>
      <w:r>
        <w:rPr>
          <w:rFonts w:ascii="宋体" w:hAnsi="宋体"/>
          <w:b/>
          <w:sz w:val="32"/>
          <w:lang w:val="zh-CN"/>
        </w:rPr>
        <w:t>(</w:t>
      </w:r>
      <w:r>
        <w:rPr>
          <w:rFonts w:hint="eastAsia" w:ascii="宋体" w:hAnsi="宋体"/>
          <w:b/>
          <w:sz w:val="32"/>
          <w:lang w:val="zh-CN"/>
        </w:rPr>
        <w:t>综合评估法</w:t>
      </w:r>
      <w:r>
        <w:rPr>
          <w:rFonts w:ascii="宋体" w:hAnsi="宋体"/>
          <w:b/>
          <w:sz w:val="32"/>
          <w:lang w:val="zh-CN"/>
        </w:rPr>
        <w:t>)</w:t>
      </w:r>
    </w:p>
    <w:p>
      <w:pPr>
        <w:rPr>
          <w:rFonts w:ascii="宋体" w:hAnsi="宋体"/>
          <w:lang w:val="zh-CN"/>
        </w:rPr>
      </w:pPr>
    </w:p>
    <w:p>
      <w:pPr>
        <w:autoSpaceDE w:val="0"/>
        <w:autoSpaceDN w:val="0"/>
        <w:adjustRightInd w:val="0"/>
        <w:spacing w:line="400" w:lineRule="exact"/>
        <w:jc w:val="left"/>
        <w:rPr>
          <w:rFonts w:ascii="宋体" w:hAnsi="宋体" w:cs="宋体"/>
          <w:b/>
          <w:szCs w:val="21"/>
          <w:lang w:val="zh-CN"/>
        </w:rPr>
      </w:pPr>
      <w:r>
        <w:rPr>
          <w:rFonts w:hint="eastAsia" w:ascii="宋体" w:hAnsi="宋体" w:cs="宋体"/>
          <w:b/>
          <w:szCs w:val="21"/>
        </w:rPr>
        <w:t>2.1</w:t>
      </w:r>
      <w:r>
        <w:rPr>
          <w:rFonts w:hint="eastAsia" w:ascii="宋体" w:hAnsi="宋体" w:cs="宋体"/>
          <w:b/>
          <w:szCs w:val="21"/>
          <w:lang w:val="zh-CN"/>
        </w:rPr>
        <w:t xml:space="preserve">评标办法附表（一） </w:t>
      </w:r>
    </w:p>
    <w:tbl>
      <w:tblPr>
        <w:tblStyle w:val="6"/>
        <w:tblW w:w="9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146"/>
        <w:gridCol w:w="1568"/>
        <w:gridCol w:w="5468"/>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888" w:type="dxa"/>
            <w:gridSpan w:val="2"/>
            <w:noWrap/>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条款号</w:t>
            </w:r>
          </w:p>
        </w:tc>
        <w:tc>
          <w:tcPr>
            <w:tcW w:w="1568" w:type="dxa"/>
            <w:noWrap/>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评审因素</w:t>
            </w:r>
          </w:p>
        </w:tc>
        <w:tc>
          <w:tcPr>
            <w:tcW w:w="5468" w:type="dxa"/>
            <w:noWrap/>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评审标准</w:t>
            </w:r>
          </w:p>
        </w:tc>
        <w:tc>
          <w:tcPr>
            <w:tcW w:w="752" w:type="dxa"/>
            <w:noWrap/>
            <w:vAlign w:val="center"/>
          </w:tcPr>
          <w:p>
            <w:pPr>
              <w:autoSpaceDE w:val="0"/>
              <w:autoSpaceDN w:val="0"/>
              <w:adjustRightInd w:val="0"/>
              <w:spacing w:line="360" w:lineRule="auto"/>
              <w:jc w:val="center"/>
              <w:rPr>
                <w:rFonts w:ascii="宋体" w:hAnsi="宋体" w:cs="宋体"/>
                <w:b/>
                <w:bCs/>
                <w:color w:val="0000FF"/>
                <w:szCs w:val="21"/>
                <w:lang w:val="zh-CN"/>
              </w:rPr>
            </w:pPr>
            <w:r>
              <w:rPr>
                <w:rFonts w:hint="eastAsia" w:ascii="宋体" w:hAnsi="宋体" w:cs="宋体"/>
                <w:b/>
                <w:bCs/>
                <w:szCs w:val="21"/>
                <w:lang w:val="zh-CN"/>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jc w:val="center"/>
        </w:trPr>
        <w:tc>
          <w:tcPr>
            <w:tcW w:w="742" w:type="dxa"/>
            <w:vMerge w:val="restart"/>
            <w:noWrap/>
            <w:vAlign w:val="center"/>
          </w:tcPr>
          <w:p>
            <w:pPr>
              <w:autoSpaceDE w:val="0"/>
              <w:autoSpaceDN w:val="0"/>
              <w:adjustRightInd w:val="0"/>
              <w:spacing w:line="360" w:lineRule="auto"/>
              <w:jc w:val="center"/>
              <w:rPr>
                <w:rFonts w:ascii="宋体" w:hAnsi="宋体" w:cs="宋体"/>
                <w:bCs/>
                <w:szCs w:val="21"/>
                <w:lang w:val="zh-CN"/>
              </w:rPr>
            </w:pPr>
            <w:r>
              <w:rPr>
                <w:rFonts w:ascii="宋体" w:hAnsi="宋体" w:cs="宋体"/>
                <w:bCs/>
                <w:szCs w:val="21"/>
                <w:lang w:val="zh-CN"/>
              </w:rPr>
              <w:t>2.1.1</w:t>
            </w:r>
          </w:p>
        </w:tc>
        <w:tc>
          <w:tcPr>
            <w:tcW w:w="1146" w:type="dxa"/>
            <w:vMerge w:val="restart"/>
            <w:noWrap/>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形式评审标准</w:t>
            </w:r>
          </w:p>
        </w:tc>
        <w:tc>
          <w:tcPr>
            <w:tcW w:w="1568" w:type="dxa"/>
            <w:noWrap/>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投标人名称</w:t>
            </w:r>
          </w:p>
        </w:tc>
        <w:tc>
          <w:tcPr>
            <w:tcW w:w="5468" w:type="dxa"/>
            <w:noWrap/>
            <w:vAlign w:val="center"/>
          </w:tcPr>
          <w:p>
            <w:pPr>
              <w:autoSpaceDE w:val="0"/>
              <w:autoSpaceDN w:val="0"/>
              <w:adjustRightInd w:val="0"/>
              <w:spacing w:line="360" w:lineRule="auto"/>
              <w:rPr>
                <w:rFonts w:ascii="宋体" w:hAnsi="宋体" w:cs="宋体"/>
                <w:bCs/>
                <w:szCs w:val="21"/>
                <w:lang w:val="zh-CN"/>
              </w:rPr>
            </w:pPr>
            <w:r>
              <w:rPr>
                <w:rFonts w:hint="eastAsia" w:ascii="宋体" w:hAnsi="宋体" w:cs="宋体"/>
                <w:bCs/>
                <w:szCs w:val="21"/>
                <w:lang w:val="zh-CN"/>
              </w:rPr>
              <w:t xml:space="preserve">与企业法人营业执照一致。 </w:t>
            </w:r>
          </w:p>
        </w:tc>
        <w:tc>
          <w:tcPr>
            <w:tcW w:w="752" w:type="dxa"/>
            <w:noWrap/>
            <w:vAlign w:val="center"/>
          </w:tcPr>
          <w:p>
            <w:pPr>
              <w:autoSpaceDE w:val="0"/>
              <w:autoSpaceDN w:val="0"/>
              <w:adjustRightInd w:val="0"/>
              <w:spacing w:line="360" w:lineRule="auto"/>
              <w:jc w:val="center"/>
              <w:rPr>
                <w:rFonts w:ascii="宋体" w:hAnsi="宋体" w:cs="宋体"/>
                <w:b/>
                <w:bCs/>
                <w:color w:val="0000FF"/>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8" w:hRule="atLeast"/>
          <w:jc w:val="center"/>
        </w:trPr>
        <w:tc>
          <w:tcPr>
            <w:tcW w:w="742" w:type="dxa"/>
            <w:vMerge w:val="continue"/>
            <w:noWrap/>
            <w:vAlign w:val="center"/>
          </w:tcPr>
          <w:p>
            <w:pPr>
              <w:autoSpaceDE w:val="0"/>
              <w:autoSpaceDN w:val="0"/>
              <w:adjustRightInd w:val="0"/>
              <w:spacing w:line="360" w:lineRule="auto"/>
              <w:jc w:val="center"/>
              <w:rPr>
                <w:rFonts w:ascii="宋体" w:hAnsi="宋体" w:cs="宋体"/>
                <w:bCs/>
                <w:szCs w:val="21"/>
                <w:lang w:val="zh-CN"/>
              </w:rPr>
            </w:pPr>
          </w:p>
        </w:tc>
        <w:tc>
          <w:tcPr>
            <w:tcW w:w="1146" w:type="dxa"/>
            <w:vMerge w:val="continue"/>
            <w:noWrap/>
            <w:vAlign w:val="center"/>
          </w:tcPr>
          <w:p>
            <w:pPr>
              <w:autoSpaceDE w:val="0"/>
              <w:autoSpaceDN w:val="0"/>
              <w:adjustRightInd w:val="0"/>
              <w:spacing w:line="360" w:lineRule="auto"/>
              <w:jc w:val="center"/>
              <w:rPr>
                <w:rFonts w:ascii="宋体" w:hAnsi="宋体" w:cs="宋体"/>
                <w:bCs/>
                <w:szCs w:val="21"/>
                <w:lang w:val="zh-CN"/>
              </w:rPr>
            </w:pPr>
          </w:p>
        </w:tc>
        <w:tc>
          <w:tcPr>
            <w:tcW w:w="1568" w:type="dxa"/>
            <w:noWrap/>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投标函</w:t>
            </w:r>
          </w:p>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盖章</w:t>
            </w:r>
          </w:p>
        </w:tc>
        <w:tc>
          <w:tcPr>
            <w:tcW w:w="5468" w:type="dxa"/>
            <w:noWrap/>
            <w:vAlign w:val="center"/>
          </w:tcPr>
          <w:p>
            <w:pPr>
              <w:autoSpaceDE w:val="0"/>
              <w:autoSpaceDN w:val="0"/>
              <w:adjustRightInd w:val="0"/>
              <w:spacing w:line="360" w:lineRule="auto"/>
              <w:rPr>
                <w:rFonts w:ascii="宋体" w:hAnsi="宋体" w:cs="宋体"/>
                <w:bCs/>
                <w:szCs w:val="21"/>
                <w:lang w:val="zh-CN"/>
              </w:rPr>
            </w:pPr>
            <w:r>
              <w:rPr>
                <w:rFonts w:hint="eastAsia" w:ascii="宋体" w:hAnsi="宋体" w:cs="宋体"/>
                <w:bCs/>
                <w:szCs w:val="21"/>
                <w:lang w:val="zh-CN"/>
              </w:rPr>
              <w:t>按照招标文件中提供的文件格式的要求签字、盖章。法定代表人或其委托代理人签字（或盖章）并加盖单位公章，委托代理人签字的，其法定代表人授权委托书须由法定代表人签署。</w:t>
            </w:r>
          </w:p>
        </w:tc>
        <w:tc>
          <w:tcPr>
            <w:tcW w:w="752" w:type="dxa"/>
            <w:noWrap/>
            <w:vAlign w:val="center"/>
          </w:tcPr>
          <w:p>
            <w:pPr>
              <w:autoSpaceDE w:val="0"/>
              <w:autoSpaceDN w:val="0"/>
              <w:adjustRightInd w:val="0"/>
              <w:spacing w:line="360" w:lineRule="auto"/>
              <w:jc w:val="center"/>
              <w:rPr>
                <w:rFonts w:ascii="宋体" w:hAnsi="宋体" w:cs="宋体"/>
                <w:b/>
                <w:bCs/>
                <w:color w:val="0000FF"/>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742" w:type="dxa"/>
            <w:vMerge w:val="continue"/>
            <w:tcBorders>
              <w:bottom w:val="single" w:color="auto" w:sz="4" w:space="0"/>
            </w:tcBorders>
            <w:noWrap/>
            <w:vAlign w:val="center"/>
          </w:tcPr>
          <w:p>
            <w:pPr>
              <w:autoSpaceDE w:val="0"/>
              <w:autoSpaceDN w:val="0"/>
              <w:adjustRightInd w:val="0"/>
              <w:spacing w:line="360" w:lineRule="auto"/>
              <w:jc w:val="center"/>
              <w:rPr>
                <w:rFonts w:ascii="宋体" w:hAnsi="宋体" w:cs="宋体"/>
                <w:bCs/>
                <w:szCs w:val="21"/>
                <w:lang w:val="zh-CN"/>
              </w:rPr>
            </w:pPr>
          </w:p>
        </w:tc>
        <w:tc>
          <w:tcPr>
            <w:tcW w:w="1146" w:type="dxa"/>
            <w:vMerge w:val="continue"/>
            <w:tcBorders>
              <w:bottom w:val="single" w:color="auto" w:sz="4" w:space="0"/>
            </w:tcBorders>
            <w:noWrap/>
            <w:vAlign w:val="center"/>
          </w:tcPr>
          <w:p>
            <w:pPr>
              <w:autoSpaceDE w:val="0"/>
              <w:autoSpaceDN w:val="0"/>
              <w:adjustRightInd w:val="0"/>
              <w:spacing w:line="360" w:lineRule="auto"/>
              <w:jc w:val="center"/>
              <w:rPr>
                <w:rFonts w:ascii="宋体" w:hAnsi="宋体" w:cs="宋体"/>
                <w:bCs/>
                <w:szCs w:val="21"/>
                <w:lang w:val="zh-CN"/>
              </w:rPr>
            </w:pPr>
          </w:p>
        </w:tc>
        <w:tc>
          <w:tcPr>
            <w:tcW w:w="1568" w:type="dxa"/>
            <w:tcBorders>
              <w:bottom w:val="single" w:color="auto" w:sz="4" w:space="0"/>
            </w:tcBorders>
            <w:noWrap/>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报价唯一</w:t>
            </w:r>
          </w:p>
        </w:tc>
        <w:tc>
          <w:tcPr>
            <w:tcW w:w="5468" w:type="dxa"/>
            <w:tcBorders>
              <w:bottom w:val="single" w:color="auto" w:sz="4" w:space="0"/>
            </w:tcBorders>
            <w:noWrap/>
            <w:vAlign w:val="center"/>
          </w:tcPr>
          <w:p>
            <w:pPr>
              <w:widowControl/>
              <w:autoSpaceDE w:val="0"/>
              <w:autoSpaceDN w:val="0"/>
              <w:adjustRightInd w:val="0"/>
              <w:spacing w:line="360" w:lineRule="auto"/>
              <w:jc w:val="left"/>
              <w:rPr>
                <w:rFonts w:ascii="宋体" w:hAnsi="宋体" w:cs="宋体"/>
                <w:bCs/>
                <w:szCs w:val="21"/>
                <w:lang w:val="zh-CN"/>
              </w:rPr>
            </w:pPr>
            <w:r>
              <w:rPr>
                <w:rFonts w:hint="eastAsia" w:ascii="宋体" w:hAnsi="宋体" w:cs="宋体"/>
                <w:bCs/>
                <w:szCs w:val="21"/>
                <w:lang w:val="zh-CN"/>
              </w:rPr>
              <w:t>只能有一个有效报价。</w:t>
            </w:r>
          </w:p>
        </w:tc>
        <w:tc>
          <w:tcPr>
            <w:tcW w:w="752" w:type="dxa"/>
            <w:tcBorders>
              <w:bottom w:val="single" w:color="auto" w:sz="4" w:space="0"/>
            </w:tcBorders>
            <w:noWrap/>
            <w:vAlign w:val="center"/>
          </w:tcPr>
          <w:p>
            <w:pPr>
              <w:autoSpaceDE w:val="0"/>
              <w:autoSpaceDN w:val="0"/>
              <w:adjustRightInd w:val="0"/>
              <w:spacing w:line="360" w:lineRule="auto"/>
              <w:jc w:val="center"/>
              <w:rPr>
                <w:rFonts w:ascii="宋体" w:hAnsi="宋体" w:cs="宋体"/>
                <w:b/>
                <w:bCs/>
                <w:color w:val="0000FF"/>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742" w:type="dxa"/>
            <w:vMerge w:val="restart"/>
            <w:noWrap/>
            <w:vAlign w:val="center"/>
          </w:tcPr>
          <w:p>
            <w:pPr>
              <w:autoSpaceDE w:val="0"/>
              <w:autoSpaceDN w:val="0"/>
              <w:adjustRightInd w:val="0"/>
              <w:spacing w:line="360" w:lineRule="auto"/>
              <w:jc w:val="center"/>
              <w:rPr>
                <w:rFonts w:ascii="宋体" w:hAnsi="宋体" w:cs="宋体"/>
                <w:bCs/>
                <w:szCs w:val="21"/>
                <w:lang w:val="zh-CN"/>
              </w:rPr>
            </w:pPr>
            <w:r>
              <w:rPr>
                <w:rFonts w:ascii="宋体" w:hAnsi="宋体" w:cs="宋体"/>
                <w:bCs/>
                <w:szCs w:val="21"/>
                <w:lang w:val="zh-CN"/>
              </w:rPr>
              <w:t>2.1.2</w:t>
            </w:r>
          </w:p>
        </w:tc>
        <w:tc>
          <w:tcPr>
            <w:tcW w:w="1146" w:type="dxa"/>
            <w:vMerge w:val="restart"/>
            <w:noWrap/>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资格评审标准</w:t>
            </w:r>
          </w:p>
        </w:tc>
        <w:tc>
          <w:tcPr>
            <w:tcW w:w="1568" w:type="dxa"/>
            <w:noWrap/>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营业执照</w:t>
            </w:r>
          </w:p>
        </w:tc>
        <w:tc>
          <w:tcPr>
            <w:tcW w:w="5468" w:type="dxa"/>
            <w:noWrap/>
            <w:vAlign w:val="center"/>
          </w:tcPr>
          <w:p>
            <w:pPr>
              <w:spacing w:line="360" w:lineRule="auto"/>
              <w:rPr>
                <w:rFonts w:ascii="宋体" w:hAnsi="宋体" w:cs="宋体"/>
                <w:bCs/>
                <w:szCs w:val="21"/>
                <w:lang w:val="zh-CN"/>
              </w:rPr>
            </w:pPr>
            <w:r>
              <w:rPr>
                <w:rFonts w:hint="eastAsia" w:ascii="宋体" w:hAnsi="宋体" w:cs="宋体"/>
                <w:bCs/>
                <w:szCs w:val="21"/>
                <w:lang w:val="zh-CN"/>
              </w:rPr>
              <w:t>提供</w:t>
            </w:r>
            <w:r>
              <w:rPr>
                <w:rFonts w:hint="eastAsia" w:ascii="宋体" w:hAnsi="宋体"/>
              </w:rPr>
              <w:t>营业执照副本</w:t>
            </w:r>
            <w:r>
              <w:rPr>
                <w:rFonts w:hint="eastAsia" w:ascii="宋体" w:hAnsi="宋体" w:cs="宋体"/>
                <w:bCs/>
                <w:szCs w:val="21"/>
                <w:lang w:val="zh-CN"/>
              </w:rPr>
              <w:t>复印件</w:t>
            </w:r>
            <w:r>
              <w:rPr>
                <w:rFonts w:hint="eastAsia" w:ascii="宋体" w:hAnsi="宋体" w:cs="宋体"/>
                <w:bCs/>
                <w:szCs w:val="21"/>
              </w:rPr>
              <w:t>加盖公章</w:t>
            </w:r>
            <w:r>
              <w:rPr>
                <w:rFonts w:hint="eastAsia" w:ascii="宋体" w:hAnsi="宋体" w:cs="宋体"/>
                <w:bCs/>
                <w:szCs w:val="21"/>
                <w:lang w:val="zh-CN"/>
              </w:rPr>
              <w:t>装订在响应文件中。</w:t>
            </w:r>
          </w:p>
        </w:tc>
        <w:tc>
          <w:tcPr>
            <w:tcW w:w="752" w:type="dxa"/>
            <w:noWrap/>
            <w:vAlign w:val="center"/>
          </w:tcPr>
          <w:p>
            <w:pPr>
              <w:autoSpaceDE w:val="0"/>
              <w:autoSpaceDN w:val="0"/>
              <w:adjustRightInd w:val="0"/>
              <w:spacing w:line="360" w:lineRule="auto"/>
              <w:jc w:val="center"/>
              <w:rPr>
                <w:rFonts w:ascii="宋体" w:hAnsi="宋体" w:cs="宋体"/>
                <w:b/>
                <w:bCs/>
                <w:color w:val="0000FF"/>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742" w:type="dxa"/>
            <w:vMerge w:val="continue"/>
            <w:noWrap/>
            <w:vAlign w:val="center"/>
          </w:tcPr>
          <w:p>
            <w:pPr>
              <w:autoSpaceDE w:val="0"/>
              <w:autoSpaceDN w:val="0"/>
              <w:adjustRightInd w:val="0"/>
              <w:spacing w:line="360" w:lineRule="auto"/>
              <w:jc w:val="center"/>
              <w:rPr>
                <w:rFonts w:ascii="宋体" w:hAnsi="宋体" w:cs="宋体"/>
                <w:bCs/>
                <w:szCs w:val="21"/>
                <w:lang w:val="zh-CN"/>
              </w:rPr>
            </w:pPr>
          </w:p>
        </w:tc>
        <w:tc>
          <w:tcPr>
            <w:tcW w:w="1146" w:type="dxa"/>
            <w:vMerge w:val="continue"/>
            <w:noWrap/>
            <w:vAlign w:val="center"/>
          </w:tcPr>
          <w:p>
            <w:pPr>
              <w:autoSpaceDE w:val="0"/>
              <w:autoSpaceDN w:val="0"/>
              <w:adjustRightInd w:val="0"/>
              <w:spacing w:line="360" w:lineRule="auto"/>
              <w:jc w:val="center"/>
              <w:rPr>
                <w:rFonts w:ascii="宋体" w:hAnsi="宋体" w:cs="宋体"/>
                <w:bCs/>
                <w:szCs w:val="21"/>
                <w:lang w:val="zh-CN"/>
              </w:rPr>
            </w:pPr>
          </w:p>
        </w:tc>
        <w:tc>
          <w:tcPr>
            <w:tcW w:w="1568" w:type="dxa"/>
            <w:noWrap/>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专业技术</w:t>
            </w:r>
          </w:p>
        </w:tc>
        <w:tc>
          <w:tcPr>
            <w:tcW w:w="5468" w:type="dxa"/>
            <w:noWrap/>
            <w:vAlign w:val="center"/>
          </w:tcPr>
          <w:p>
            <w:pPr>
              <w:spacing w:line="360" w:lineRule="auto"/>
              <w:rPr>
                <w:rFonts w:ascii="宋体" w:hAnsi="宋体" w:cs="宋体"/>
                <w:bCs/>
                <w:szCs w:val="21"/>
              </w:rPr>
            </w:pPr>
            <w:r>
              <w:rPr>
                <w:rFonts w:hint="eastAsia" w:ascii="宋体" w:hAnsi="宋体" w:cs="宋体"/>
                <w:bCs/>
                <w:szCs w:val="21"/>
              </w:rPr>
              <w:t>提供会计师事务所执业证书复印件，证券、期货相关业务许可证复印件加盖公章装订在响应文件中。</w:t>
            </w:r>
          </w:p>
        </w:tc>
        <w:tc>
          <w:tcPr>
            <w:tcW w:w="752" w:type="dxa"/>
            <w:noWrap/>
            <w:vAlign w:val="center"/>
          </w:tcPr>
          <w:p>
            <w:pPr>
              <w:autoSpaceDE w:val="0"/>
              <w:autoSpaceDN w:val="0"/>
              <w:adjustRightInd w:val="0"/>
              <w:spacing w:line="360" w:lineRule="auto"/>
              <w:jc w:val="center"/>
              <w:rPr>
                <w:rFonts w:ascii="宋体" w:hAnsi="宋体" w:cs="宋体"/>
                <w:b/>
                <w:bCs/>
                <w:color w:val="0000FF"/>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742" w:type="dxa"/>
            <w:vMerge w:val="continue"/>
            <w:noWrap/>
            <w:vAlign w:val="center"/>
          </w:tcPr>
          <w:p>
            <w:pPr>
              <w:autoSpaceDE w:val="0"/>
              <w:autoSpaceDN w:val="0"/>
              <w:adjustRightInd w:val="0"/>
              <w:spacing w:line="360" w:lineRule="auto"/>
              <w:jc w:val="center"/>
              <w:rPr>
                <w:rFonts w:ascii="宋体" w:hAnsi="宋体" w:cs="宋体"/>
                <w:bCs/>
                <w:szCs w:val="21"/>
                <w:lang w:val="zh-CN"/>
              </w:rPr>
            </w:pPr>
          </w:p>
        </w:tc>
        <w:tc>
          <w:tcPr>
            <w:tcW w:w="1146" w:type="dxa"/>
            <w:vMerge w:val="continue"/>
            <w:noWrap/>
            <w:vAlign w:val="center"/>
          </w:tcPr>
          <w:p>
            <w:pPr>
              <w:autoSpaceDE w:val="0"/>
              <w:autoSpaceDN w:val="0"/>
              <w:adjustRightInd w:val="0"/>
              <w:spacing w:line="360" w:lineRule="auto"/>
              <w:jc w:val="center"/>
              <w:rPr>
                <w:rFonts w:ascii="宋体" w:hAnsi="宋体" w:cs="宋体"/>
                <w:bCs/>
                <w:szCs w:val="21"/>
                <w:lang w:val="zh-CN"/>
              </w:rPr>
            </w:pPr>
          </w:p>
        </w:tc>
        <w:tc>
          <w:tcPr>
            <w:tcW w:w="1568" w:type="dxa"/>
            <w:noWrap/>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财务状况</w:t>
            </w:r>
          </w:p>
        </w:tc>
        <w:tc>
          <w:tcPr>
            <w:tcW w:w="5468" w:type="dxa"/>
            <w:noWrap/>
            <w:vAlign w:val="center"/>
          </w:tcPr>
          <w:p>
            <w:pPr>
              <w:spacing w:line="360" w:lineRule="auto"/>
              <w:rPr>
                <w:rFonts w:ascii="宋体" w:hAnsi="宋体" w:cs="宋体"/>
                <w:bCs/>
                <w:szCs w:val="21"/>
                <w:lang w:val="zh-CN"/>
              </w:rPr>
            </w:pPr>
            <w:r>
              <w:rPr>
                <w:rFonts w:hint="eastAsia" w:ascii="宋体" w:hAnsi="宋体" w:cs="宋体"/>
                <w:bCs/>
                <w:szCs w:val="21"/>
                <w:lang w:val="zh-CN"/>
              </w:rPr>
              <w:t>具有良好商业信誉和健全财务会计制度提供承诺书（格式自拟）证明材料</w:t>
            </w:r>
            <w:r>
              <w:rPr>
                <w:rFonts w:hint="eastAsia" w:ascii="宋体" w:hAnsi="宋体" w:cs="宋体"/>
                <w:bCs/>
                <w:szCs w:val="21"/>
              </w:rPr>
              <w:t>的</w:t>
            </w:r>
            <w:r>
              <w:rPr>
                <w:rFonts w:hint="eastAsia" w:ascii="宋体" w:hAnsi="宋体" w:cs="宋体"/>
                <w:bCs/>
                <w:szCs w:val="21"/>
                <w:lang w:val="zh-CN"/>
              </w:rPr>
              <w:t>复印件</w:t>
            </w:r>
            <w:r>
              <w:rPr>
                <w:rFonts w:hint="eastAsia" w:ascii="宋体" w:hAnsi="宋体" w:cs="宋体"/>
                <w:bCs/>
                <w:szCs w:val="21"/>
              </w:rPr>
              <w:t>加盖公章</w:t>
            </w:r>
            <w:r>
              <w:rPr>
                <w:rFonts w:hint="eastAsia" w:ascii="宋体" w:hAnsi="宋体" w:cs="宋体"/>
                <w:bCs/>
                <w:szCs w:val="21"/>
                <w:lang w:val="zh-CN"/>
              </w:rPr>
              <w:t>装订在响应文件中。</w:t>
            </w:r>
          </w:p>
        </w:tc>
        <w:tc>
          <w:tcPr>
            <w:tcW w:w="752" w:type="dxa"/>
            <w:noWrap/>
            <w:vAlign w:val="center"/>
          </w:tcPr>
          <w:p>
            <w:pPr>
              <w:autoSpaceDE w:val="0"/>
              <w:autoSpaceDN w:val="0"/>
              <w:adjustRightInd w:val="0"/>
              <w:spacing w:line="360" w:lineRule="auto"/>
              <w:jc w:val="center"/>
              <w:rPr>
                <w:rFonts w:ascii="宋体" w:hAnsi="宋体" w:cs="宋体"/>
                <w:b/>
                <w:bCs/>
                <w:color w:val="0000FF"/>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742" w:type="dxa"/>
            <w:vMerge w:val="continue"/>
            <w:noWrap/>
            <w:vAlign w:val="center"/>
          </w:tcPr>
          <w:p>
            <w:pPr>
              <w:autoSpaceDE w:val="0"/>
              <w:autoSpaceDN w:val="0"/>
              <w:adjustRightInd w:val="0"/>
              <w:spacing w:line="360" w:lineRule="auto"/>
              <w:jc w:val="center"/>
              <w:rPr>
                <w:rFonts w:ascii="宋体" w:hAnsi="宋体" w:cs="宋体"/>
                <w:bCs/>
                <w:szCs w:val="21"/>
                <w:lang w:val="zh-CN"/>
              </w:rPr>
            </w:pPr>
          </w:p>
        </w:tc>
        <w:tc>
          <w:tcPr>
            <w:tcW w:w="1146" w:type="dxa"/>
            <w:vMerge w:val="continue"/>
            <w:noWrap/>
            <w:vAlign w:val="center"/>
          </w:tcPr>
          <w:p>
            <w:pPr>
              <w:autoSpaceDE w:val="0"/>
              <w:autoSpaceDN w:val="0"/>
              <w:adjustRightInd w:val="0"/>
              <w:spacing w:line="360" w:lineRule="auto"/>
              <w:jc w:val="center"/>
              <w:rPr>
                <w:rFonts w:ascii="宋体" w:hAnsi="宋体" w:cs="宋体"/>
                <w:bCs/>
                <w:szCs w:val="21"/>
                <w:lang w:val="zh-CN"/>
              </w:rPr>
            </w:pPr>
          </w:p>
        </w:tc>
        <w:tc>
          <w:tcPr>
            <w:tcW w:w="1568" w:type="dxa"/>
            <w:noWrap/>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其他</w:t>
            </w:r>
          </w:p>
        </w:tc>
        <w:tc>
          <w:tcPr>
            <w:tcW w:w="5468" w:type="dxa"/>
            <w:noWrap/>
            <w:vAlign w:val="center"/>
          </w:tcPr>
          <w:p>
            <w:pPr>
              <w:widowControl/>
              <w:autoSpaceDE w:val="0"/>
              <w:autoSpaceDN w:val="0"/>
              <w:adjustRightInd w:val="0"/>
              <w:spacing w:line="360" w:lineRule="auto"/>
              <w:jc w:val="left"/>
              <w:rPr>
                <w:rFonts w:ascii="宋体" w:hAnsi="宋体" w:cs="宋体"/>
                <w:bCs/>
                <w:szCs w:val="21"/>
                <w:lang w:val="zh-CN"/>
              </w:rPr>
            </w:pPr>
            <w:r>
              <w:rPr>
                <w:rFonts w:hint="eastAsia" w:ascii="宋体" w:hAnsi="宋体" w:cs="宋体"/>
                <w:bCs/>
                <w:szCs w:val="21"/>
                <w:lang w:val="zh-CN"/>
              </w:rPr>
              <w:t>本次招标不接受联合体。</w:t>
            </w:r>
          </w:p>
        </w:tc>
        <w:tc>
          <w:tcPr>
            <w:tcW w:w="752" w:type="dxa"/>
            <w:noWrap/>
            <w:vAlign w:val="center"/>
          </w:tcPr>
          <w:p>
            <w:pPr>
              <w:autoSpaceDE w:val="0"/>
              <w:autoSpaceDN w:val="0"/>
              <w:adjustRightInd w:val="0"/>
              <w:spacing w:line="360" w:lineRule="auto"/>
              <w:jc w:val="center"/>
              <w:rPr>
                <w:rFonts w:ascii="宋体" w:hAnsi="宋体" w:cs="宋体"/>
                <w:color w:val="0000FF"/>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742" w:type="dxa"/>
            <w:vMerge w:val="restart"/>
            <w:noWrap/>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2.1.3</w:t>
            </w:r>
          </w:p>
        </w:tc>
        <w:tc>
          <w:tcPr>
            <w:tcW w:w="1146" w:type="dxa"/>
            <w:vMerge w:val="restart"/>
            <w:tcBorders>
              <w:right w:val="single" w:color="auto" w:sz="4" w:space="0"/>
            </w:tcBorders>
            <w:noWrap/>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响应性评审标准</w:t>
            </w:r>
          </w:p>
        </w:tc>
        <w:tc>
          <w:tcPr>
            <w:tcW w:w="1568" w:type="dxa"/>
            <w:tcBorders>
              <w:left w:val="single" w:color="auto" w:sz="4" w:space="0"/>
              <w:bottom w:val="single" w:color="auto" w:sz="4" w:space="0"/>
              <w:right w:val="single" w:color="auto" w:sz="4" w:space="0"/>
            </w:tcBorders>
            <w:noWrap/>
            <w:vAlign w:val="center"/>
          </w:tcPr>
          <w:p>
            <w:pPr>
              <w:autoSpaceDE w:val="0"/>
              <w:autoSpaceDN w:val="0"/>
              <w:adjustRightInd w:val="0"/>
              <w:spacing w:line="360" w:lineRule="auto"/>
              <w:ind w:firstLine="210" w:firstLineChars="100"/>
              <w:jc w:val="center"/>
              <w:rPr>
                <w:rFonts w:ascii="宋体" w:hAnsi="宋体" w:cs="宋体"/>
                <w:bCs/>
                <w:szCs w:val="21"/>
                <w:lang w:val="zh-CN"/>
              </w:rPr>
            </w:pPr>
            <w:r>
              <w:rPr>
                <w:rFonts w:hint="eastAsia" w:ascii="宋体" w:hAnsi="宋体" w:cs="宋体"/>
                <w:bCs/>
                <w:szCs w:val="21"/>
                <w:lang w:val="zh-CN"/>
              </w:rPr>
              <w:t>投标报价</w:t>
            </w:r>
          </w:p>
        </w:tc>
        <w:tc>
          <w:tcPr>
            <w:tcW w:w="5468" w:type="dxa"/>
            <w:tcBorders>
              <w:left w:val="single" w:color="auto" w:sz="4" w:space="0"/>
              <w:bottom w:val="single" w:color="auto" w:sz="4" w:space="0"/>
              <w:right w:val="single" w:color="auto" w:sz="4" w:space="0"/>
            </w:tcBorders>
            <w:noWrap/>
            <w:vAlign w:val="center"/>
          </w:tcPr>
          <w:p>
            <w:pPr>
              <w:widowControl/>
              <w:autoSpaceDE w:val="0"/>
              <w:autoSpaceDN w:val="0"/>
              <w:adjustRightInd w:val="0"/>
              <w:spacing w:line="360" w:lineRule="auto"/>
              <w:jc w:val="left"/>
              <w:rPr>
                <w:rFonts w:ascii="宋体" w:hAnsi="宋体" w:cs="宋体"/>
                <w:bCs/>
                <w:szCs w:val="21"/>
              </w:rPr>
            </w:pPr>
            <w:r>
              <w:rPr>
                <w:rFonts w:hint="eastAsia" w:ascii="宋体" w:hAnsi="宋体" w:cs="宋体"/>
                <w:bCs/>
                <w:szCs w:val="21"/>
                <w:lang w:val="zh-CN"/>
              </w:rPr>
              <w:t>投标报价不高于控制价。</w:t>
            </w:r>
          </w:p>
        </w:tc>
        <w:tc>
          <w:tcPr>
            <w:tcW w:w="752" w:type="dxa"/>
            <w:tcBorders>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color w:val="0000FF"/>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atLeast"/>
          <w:jc w:val="center"/>
        </w:trPr>
        <w:tc>
          <w:tcPr>
            <w:tcW w:w="742" w:type="dxa"/>
            <w:vMerge w:val="continue"/>
            <w:noWrap/>
            <w:vAlign w:val="center"/>
          </w:tcPr>
          <w:p>
            <w:pPr>
              <w:autoSpaceDE w:val="0"/>
              <w:autoSpaceDN w:val="0"/>
              <w:adjustRightInd w:val="0"/>
              <w:spacing w:line="360" w:lineRule="auto"/>
              <w:jc w:val="center"/>
              <w:rPr>
                <w:rFonts w:ascii="宋体" w:hAnsi="宋体" w:cs="宋体"/>
                <w:bCs/>
                <w:szCs w:val="21"/>
                <w:lang w:val="zh-CN"/>
              </w:rPr>
            </w:pPr>
          </w:p>
        </w:tc>
        <w:tc>
          <w:tcPr>
            <w:tcW w:w="1146" w:type="dxa"/>
            <w:vMerge w:val="continue"/>
            <w:tcBorders>
              <w:right w:val="single" w:color="auto" w:sz="4" w:space="0"/>
            </w:tcBorders>
            <w:noWrap/>
            <w:vAlign w:val="center"/>
          </w:tcPr>
          <w:p>
            <w:pPr>
              <w:autoSpaceDE w:val="0"/>
              <w:autoSpaceDN w:val="0"/>
              <w:adjustRightInd w:val="0"/>
              <w:spacing w:line="360" w:lineRule="auto"/>
              <w:jc w:val="center"/>
              <w:rPr>
                <w:rFonts w:ascii="宋体" w:hAnsi="宋体" w:cs="宋体"/>
                <w:bCs/>
                <w:szCs w:val="21"/>
                <w:lang w:val="zh-CN"/>
              </w:rPr>
            </w:pPr>
          </w:p>
        </w:tc>
        <w:tc>
          <w:tcPr>
            <w:tcW w:w="1568" w:type="dxa"/>
            <w:tcBorders>
              <w:left w:val="single" w:color="auto" w:sz="4" w:space="0"/>
              <w:bottom w:val="single" w:color="auto" w:sz="4" w:space="0"/>
              <w:right w:val="single" w:color="auto" w:sz="4" w:space="0"/>
            </w:tcBorders>
            <w:noWrap/>
            <w:vAlign w:val="center"/>
          </w:tcPr>
          <w:p>
            <w:pPr>
              <w:autoSpaceDE w:val="0"/>
              <w:autoSpaceDN w:val="0"/>
              <w:adjustRightInd w:val="0"/>
              <w:spacing w:line="360" w:lineRule="auto"/>
              <w:ind w:firstLine="210" w:firstLineChars="100"/>
              <w:jc w:val="center"/>
              <w:rPr>
                <w:rFonts w:ascii="宋体" w:hAnsi="宋体" w:cs="宋体"/>
                <w:bCs/>
                <w:szCs w:val="21"/>
                <w:lang w:val="zh-CN"/>
              </w:rPr>
            </w:pPr>
            <w:r>
              <w:rPr>
                <w:rFonts w:hint="eastAsia" w:ascii="宋体" w:hAnsi="宋体" w:cs="宋体"/>
                <w:bCs/>
                <w:szCs w:val="21"/>
                <w:lang w:val="zh-CN"/>
              </w:rPr>
              <w:t>项目业绩</w:t>
            </w:r>
          </w:p>
        </w:tc>
        <w:tc>
          <w:tcPr>
            <w:tcW w:w="5468" w:type="dxa"/>
            <w:tcBorders>
              <w:left w:val="single" w:color="auto" w:sz="4" w:space="0"/>
              <w:bottom w:val="single" w:color="auto" w:sz="4" w:space="0"/>
              <w:right w:val="single" w:color="auto" w:sz="4" w:space="0"/>
            </w:tcBorders>
            <w:noWrap/>
            <w:vAlign w:val="center"/>
          </w:tcPr>
          <w:p>
            <w:pPr>
              <w:widowControl/>
              <w:autoSpaceDE w:val="0"/>
              <w:autoSpaceDN w:val="0"/>
              <w:adjustRightInd w:val="0"/>
              <w:spacing w:line="360" w:lineRule="auto"/>
              <w:jc w:val="left"/>
              <w:rPr>
                <w:rFonts w:ascii="宋体" w:hAnsi="宋体" w:cs="宋体"/>
                <w:bCs/>
                <w:szCs w:val="21"/>
                <w:lang w:val="zh-CN"/>
              </w:rPr>
            </w:pPr>
            <w:r>
              <w:rPr>
                <w:rFonts w:hint="eastAsia" w:ascii="宋体" w:hAnsi="宋体" w:cs="宋体"/>
                <w:bCs/>
                <w:szCs w:val="21"/>
                <w:lang w:val="zh-CN"/>
              </w:rPr>
              <w:t>近</w:t>
            </w:r>
            <w:r>
              <w:rPr>
                <w:rFonts w:hint="eastAsia" w:ascii="宋体" w:hAnsi="宋体" w:cs="宋体"/>
                <w:bCs/>
                <w:szCs w:val="21"/>
              </w:rPr>
              <w:t>3年类似项目业绩。</w:t>
            </w:r>
          </w:p>
        </w:tc>
        <w:tc>
          <w:tcPr>
            <w:tcW w:w="752" w:type="dxa"/>
            <w:tcBorders>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color w:val="0000FF"/>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42" w:type="dxa"/>
            <w:vMerge w:val="continue"/>
            <w:noWrap/>
            <w:vAlign w:val="center"/>
          </w:tcPr>
          <w:p>
            <w:pPr>
              <w:autoSpaceDE w:val="0"/>
              <w:autoSpaceDN w:val="0"/>
              <w:adjustRightInd w:val="0"/>
              <w:spacing w:line="360" w:lineRule="auto"/>
              <w:jc w:val="center"/>
              <w:rPr>
                <w:rFonts w:ascii="宋体" w:hAnsi="宋体" w:cs="宋体"/>
                <w:bCs/>
                <w:szCs w:val="21"/>
                <w:lang w:val="zh-CN"/>
              </w:rPr>
            </w:pPr>
          </w:p>
        </w:tc>
        <w:tc>
          <w:tcPr>
            <w:tcW w:w="1146" w:type="dxa"/>
            <w:vMerge w:val="continue"/>
            <w:tcBorders>
              <w:right w:val="single" w:color="auto" w:sz="4" w:space="0"/>
            </w:tcBorders>
            <w:noWrap/>
            <w:vAlign w:val="center"/>
          </w:tcPr>
          <w:p>
            <w:pPr>
              <w:autoSpaceDE w:val="0"/>
              <w:autoSpaceDN w:val="0"/>
              <w:adjustRightInd w:val="0"/>
              <w:spacing w:line="360" w:lineRule="auto"/>
              <w:jc w:val="center"/>
              <w:rPr>
                <w:rFonts w:ascii="宋体" w:hAnsi="宋体" w:cs="宋体"/>
                <w:bCs/>
                <w:szCs w:val="21"/>
                <w:lang w:val="zh-CN"/>
              </w:rPr>
            </w:pPr>
          </w:p>
        </w:tc>
        <w:tc>
          <w:tcPr>
            <w:tcW w:w="1568" w:type="dxa"/>
            <w:tcBorders>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资质条件及人力资源配置</w:t>
            </w:r>
          </w:p>
        </w:tc>
        <w:tc>
          <w:tcPr>
            <w:tcW w:w="5468" w:type="dxa"/>
            <w:tcBorders>
              <w:left w:val="single" w:color="auto" w:sz="4" w:space="0"/>
              <w:bottom w:val="single" w:color="auto" w:sz="4" w:space="0"/>
              <w:right w:val="single" w:color="auto" w:sz="4" w:space="0"/>
            </w:tcBorders>
            <w:noWrap/>
            <w:vAlign w:val="center"/>
          </w:tcPr>
          <w:p>
            <w:pPr>
              <w:widowControl/>
              <w:autoSpaceDE w:val="0"/>
              <w:autoSpaceDN w:val="0"/>
              <w:adjustRightInd w:val="0"/>
              <w:spacing w:line="360" w:lineRule="auto"/>
              <w:jc w:val="left"/>
              <w:rPr>
                <w:rFonts w:ascii="宋体" w:hAnsi="宋体" w:cs="宋体"/>
                <w:bCs/>
                <w:szCs w:val="21"/>
                <w:lang w:val="zh-CN"/>
              </w:rPr>
            </w:pPr>
            <w:r>
              <w:rPr>
                <w:rFonts w:hint="eastAsia" w:ascii="宋体" w:hAnsi="宋体" w:cs="宋体"/>
                <w:bCs/>
                <w:szCs w:val="21"/>
              </w:rPr>
              <w:t>资质条件及人力资源配置较好，提供会计师事务所信息一览表、相关资质材料。</w:t>
            </w:r>
          </w:p>
        </w:tc>
        <w:tc>
          <w:tcPr>
            <w:tcW w:w="752" w:type="dxa"/>
            <w:tcBorders>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color w:val="0000FF"/>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42" w:type="dxa"/>
            <w:vMerge w:val="continue"/>
            <w:noWrap/>
            <w:vAlign w:val="center"/>
          </w:tcPr>
          <w:p>
            <w:pPr>
              <w:autoSpaceDE w:val="0"/>
              <w:autoSpaceDN w:val="0"/>
              <w:adjustRightInd w:val="0"/>
              <w:spacing w:line="360" w:lineRule="auto"/>
              <w:jc w:val="center"/>
              <w:rPr>
                <w:rFonts w:ascii="宋体" w:hAnsi="宋体" w:cs="宋体"/>
                <w:bCs/>
                <w:szCs w:val="21"/>
                <w:lang w:val="zh-CN"/>
              </w:rPr>
            </w:pPr>
          </w:p>
        </w:tc>
        <w:tc>
          <w:tcPr>
            <w:tcW w:w="1146" w:type="dxa"/>
            <w:vMerge w:val="continue"/>
            <w:tcBorders>
              <w:right w:val="single" w:color="auto" w:sz="4" w:space="0"/>
            </w:tcBorders>
            <w:noWrap/>
            <w:vAlign w:val="center"/>
          </w:tcPr>
          <w:p>
            <w:pPr>
              <w:autoSpaceDE w:val="0"/>
              <w:autoSpaceDN w:val="0"/>
              <w:adjustRightInd w:val="0"/>
              <w:spacing w:line="360" w:lineRule="auto"/>
              <w:jc w:val="center"/>
              <w:rPr>
                <w:rFonts w:ascii="宋体" w:hAnsi="宋体" w:cs="宋体"/>
                <w:bCs/>
                <w:szCs w:val="21"/>
                <w:lang w:val="zh-CN"/>
              </w:rPr>
            </w:pPr>
          </w:p>
        </w:tc>
        <w:tc>
          <w:tcPr>
            <w:tcW w:w="1568" w:type="dxa"/>
            <w:tcBorders>
              <w:top w:val="single" w:color="auto" w:sz="4" w:space="0"/>
              <w:left w:val="single" w:color="auto" w:sz="4" w:space="0"/>
            </w:tcBorders>
            <w:noWrap/>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rPr>
              <w:t>质量管理</w:t>
            </w:r>
          </w:p>
        </w:tc>
        <w:tc>
          <w:tcPr>
            <w:tcW w:w="5468" w:type="dxa"/>
            <w:tcBorders>
              <w:top w:val="single" w:color="auto" w:sz="4" w:space="0"/>
            </w:tcBorders>
            <w:noWrap/>
            <w:vAlign w:val="center"/>
          </w:tcPr>
          <w:p>
            <w:pPr>
              <w:autoSpaceDE w:val="0"/>
              <w:autoSpaceDN w:val="0"/>
              <w:adjustRightInd w:val="0"/>
              <w:spacing w:line="360" w:lineRule="auto"/>
              <w:rPr>
                <w:rFonts w:ascii="宋体" w:hAnsi="宋体" w:cs="宋体"/>
                <w:bCs/>
                <w:szCs w:val="21"/>
              </w:rPr>
            </w:pPr>
            <w:r>
              <w:rPr>
                <w:rFonts w:hint="eastAsia" w:ascii="宋体" w:hAnsi="宋体" w:cs="宋体"/>
                <w:bCs/>
                <w:szCs w:val="21"/>
              </w:rPr>
              <w:t>质量管理水平</w:t>
            </w:r>
            <w:r>
              <w:rPr>
                <w:rFonts w:hint="eastAsia" w:ascii="宋体" w:hAnsi="宋体" w:cs="宋体"/>
                <w:bCs/>
                <w:szCs w:val="21"/>
                <w:lang w:val="zh-CN"/>
              </w:rPr>
              <w:t>符合国家及行业现行相关标准。</w:t>
            </w:r>
          </w:p>
        </w:tc>
        <w:tc>
          <w:tcPr>
            <w:tcW w:w="752" w:type="dxa"/>
            <w:tcBorders>
              <w:top w:val="single" w:color="auto" w:sz="4" w:space="0"/>
            </w:tcBorders>
            <w:noWrap/>
            <w:vAlign w:val="center"/>
          </w:tcPr>
          <w:p>
            <w:pPr>
              <w:autoSpaceDE w:val="0"/>
              <w:autoSpaceDN w:val="0"/>
              <w:adjustRightInd w:val="0"/>
              <w:spacing w:line="360" w:lineRule="auto"/>
              <w:jc w:val="center"/>
              <w:rPr>
                <w:rFonts w:ascii="宋体" w:hAnsi="宋体" w:cs="宋体"/>
                <w:color w:val="0000FF"/>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42" w:type="dxa"/>
            <w:vMerge w:val="continue"/>
            <w:noWrap/>
            <w:vAlign w:val="center"/>
          </w:tcPr>
          <w:p>
            <w:pPr>
              <w:autoSpaceDE w:val="0"/>
              <w:autoSpaceDN w:val="0"/>
              <w:adjustRightInd w:val="0"/>
              <w:spacing w:line="360" w:lineRule="auto"/>
              <w:jc w:val="center"/>
              <w:rPr>
                <w:rFonts w:ascii="宋体" w:hAnsi="宋体" w:cs="宋体"/>
                <w:bCs/>
                <w:szCs w:val="21"/>
                <w:lang w:val="zh-CN"/>
              </w:rPr>
            </w:pPr>
          </w:p>
        </w:tc>
        <w:tc>
          <w:tcPr>
            <w:tcW w:w="1146" w:type="dxa"/>
            <w:vMerge w:val="continue"/>
            <w:tcBorders>
              <w:right w:val="single" w:color="auto" w:sz="4" w:space="0"/>
            </w:tcBorders>
            <w:noWrap/>
            <w:vAlign w:val="center"/>
          </w:tcPr>
          <w:p>
            <w:pPr>
              <w:autoSpaceDE w:val="0"/>
              <w:autoSpaceDN w:val="0"/>
              <w:adjustRightInd w:val="0"/>
              <w:spacing w:line="360" w:lineRule="auto"/>
              <w:jc w:val="center"/>
              <w:rPr>
                <w:rFonts w:ascii="宋体" w:hAnsi="宋体" w:cs="宋体"/>
                <w:bCs/>
                <w:szCs w:val="21"/>
                <w:lang w:val="zh-CN"/>
              </w:rPr>
            </w:pPr>
          </w:p>
        </w:tc>
        <w:tc>
          <w:tcPr>
            <w:tcW w:w="1568" w:type="dxa"/>
            <w:tcBorders>
              <w:left w:val="single" w:color="auto" w:sz="4" w:space="0"/>
            </w:tcBorders>
            <w:noWrap/>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工作方案</w:t>
            </w:r>
          </w:p>
        </w:tc>
        <w:tc>
          <w:tcPr>
            <w:tcW w:w="5468" w:type="dxa"/>
            <w:noWrap/>
            <w:vAlign w:val="center"/>
          </w:tcPr>
          <w:p>
            <w:pPr>
              <w:autoSpaceDE w:val="0"/>
              <w:autoSpaceDN w:val="0"/>
              <w:adjustRightInd w:val="0"/>
              <w:spacing w:line="360" w:lineRule="auto"/>
              <w:rPr>
                <w:rFonts w:ascii="宋体" w:hAnsi="宋体" w:cs="宋体"/>
                <w:bCs/>
                <w:szCs w:val="21"/>
                <w:lang w:val="zh-CN"/>
              </w:rPr>
            </w:pPr>
            <w:r>
              <w:rPr>
                <w:rFonts w:hint="eastAsia" w:ascii="宋体" w:hAnsi="宋体" w:cs="宋体"/>
                <w:bCs/>
                <w:szCs w:val="21"/>
                <w:lang w:val="zh-CN"/>
              </w:rPr>
              <w:t>方案合理可行，适用于招标方。</w:t>
            </w:r>
          </w:p>
        </w:tc>
        <w:tc>
          <w:tcPr>
            <w:tcW w:w="752" w:type="dxa"/>
            <w:noWrap/>
            <w:vAlign w:val="center"/>
          </w:tcPr>
          <w:p>
            <w:pPr>
              <w:autoSpaceDE w:val="0"/>
              <w:autoSpaceDN w:val="0"/>
              <w:adjustRightInd w:val="0"/>
              <w:spacing w:line="360" w:lineRule="auto"/>
              <w:jc w:val="center"/>
              <w:rPr>
                <w:rFonts w:ascii="宋体" w:hAnsi="宋体" w:cs="宋体"/>
                <w:color w:val="0000FF"/>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42" w:type="dxa"/>
            <w:vMerge w:val="continue"/>
            <w:noWrap/>
            <w:vAlign w:val="center"/>
          </w:tcPr>
          <w:p>
            <w:pPr>
              <w:autoSpaceDE w:val="0"/>
              <w:autoSpaceDN w:val="0"/>
              <w:adjustRightInd w:val="0"/>
              <w:spacing w:line="360" w:lineRule="auto"/>
              <w:jc w:val="center"/>
              <w:rPr>
                <w:rFonts w:ascii="宋体" w:hAnsi="宋体" w:cs="宋体"/>
                <w:bCs/>
                <w:szCs w:val="21"/>
                <w:lang w:val="zh-CN"/>
              </w:rPr>
            </w:pPr>
          </w:p>
        </w:tc>
        <w:tc>
          <w:tcPr>
            <w:tcW w:w="1146" w:type="dxa"/>
            <w:vMerge w:val="continue"/>
            <w:tcBorders>
              <w:right w:val="single" w:color="auto" w:sz="4" w:space="0"/>
            </w:tcBorders>
            <w:noWrap/>
            <w:vAlign w:val="center"/>
          </w:tcPr>
          <w:p>
            <w:pPr>
              <w:autoSpaceDE w:val="0"/>
              <w:autoSpaceDN w:val="0"/>
              <w:adjustRightInd w:val="0"/>
              <w:spacing w:line="360" w:lineRule="auto"/>
              <w:jc w:val="center"/>
              <w:rPr>
                <w:rFonts w:ascii="宋体" w:hAnsi="宋体" w:cs="宋体"/>
                <w:bCs/>
                <w:szCs w:val="21"/>
                <w:lang w:val="zh-CN"/>
              </w:rPr>
            </w:pPr>
          </w:p>
        </w:tc>
        <w:tc>
          <w:tcPr>
            <w:tcW w:w="1568" w:type="dxa"/>
            <w:tcBorders>
              <w:left w:val="single" w:color="auto" w:sz="4" w:space="0"/>
            </w:tcBorders>
            <w:noWrap/>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信息安全</w:t>
            </w:r>
          </w:p>
        </w:tc>
        <w:tc>
          <w:tcPr>
            <w:tcW w:w="5468" w:type="dxa"/>
            <w:noWrap/>
            <w:vAlign w:val="center"/>
          </w:tcPr>
          <w:p>
            <w:pPr>
              <w:autoSpaceDE w:val="0"/>
              <w:autoSpaceDN w:val="0"/>
              <w:adjustRightInd w:val="0"/>
              <w:spacing w:line="360" w:lineRule="auto"/>
              <w:rPr>
                <w:rFonts w:ascii="宋体" w:hAnsi="宋体" w:cs="宋体"/>
                <w:bCs/>
                <w:szCs w:val="21"/>
                <w:lang w:val="zh-CN"/>
              </w:rPr>
            </w:pPr>
            <w:r>
              <w:rPr>
                <w:rFonts w:hint="eastAsia" w:ascii="宋体" w:hAnsi="宋体" w:cs="宋体"/>
                <w:bCs/>
                <w:szCs w:val="21"/>
                <w:lang w:val="zh-CN"/>
              </w:rPr>
              <w:t>信息安全保障措施完备。</w:t>
            </w:r>
          </w:p>
        </w:tc>
        <w:tc>
          <w:tcPr>
            <w:tcW w:w="752" w:type="dxa"/>
            <w:noWrap/>
            <w:vAlign w:val="center"/>
          </w:tcPr>
          <w:p>
            <w:pPr>
              <w:autoSpaceDE w:val="0"/>
              <w:autoSpaceDN w:val="0"/>
              <w:adjustRightInd w:val="0"/>
              <w:spacing w:line="360" w:lineRule="auto"/>
              <w:jc w:val="center"/>
              <w:rPr>
                <w:rFonts w:ascii="宋体" w:hAnsi="宋体" w:cs="宋体"/>
                <w:color w:val="0000FF"/>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42" w:type="dxa"/>
            <w:vMerge w:val="continue"/>
            <w:noWrap/>
            <w:vAlign w:val="center"/>
          </w:tcPr>
          <w:p>
            <w:pPr>
              <w:autoSpaceDE w:val="0"/>
              <w:autoSpaceDN w:val="0"/>
              <w:adjustRightInd w:val="0"/>
              <w:spacing w:line="360" w:lineRule="auto"/>
              <w:jc w:val="center"/>
              <w:rPr>
                <w:rFonts w:ascii="宋体" w:hAnsi="宋体" w:cs="宋体"/>
                <w:bCs/>
                <w:szCs w:val="21"/>
                <w:lang w:val="zh-CN"/>
              </w:rPr>
            </w:pPr>
          </w:p>
        </w:tc>
        <w:tc>
          <w:tcPr>
            <w:tcW w:w="1146" w:type="dxa"/>
            <w:vMerge w:val="continue"/>
            <w:tcBorders>
              <w:right w:val="single" w:color="auto" w:sz="4" w:space="0"/>
            </w:tcBorders>
            <w:noWrap/>
            <w:vAlign w:val="center"/>
          </w:tcPr>
          <w:p>
            <w:pPr>
              <w:autoSpaceDE w:val="0"/>
              <w:autoSpaceDN w:val="0"/>
              <w:adjustRightInd w:val="0"/>
              <w:spacing w:line="360" w:lineRule="auto"/>
              <w:jc w:val="center"/>
              <w:rPr>
                <w:rFonts w:ascii="宋体" w:hAnsi="宋体" w:cs="宋体"/>
                <w:bCs/>
                <w:szCs w:val="21"/>
                <w:lang w:val="zh-CN"/>
              </w:rPr>
            </w:pPr>
          </w:p>
        </w:tc>
        <w:tc>
          <w:tcPr>
            <w:tcW w:w="1568" w:type="dxa"/>
            <w:tcBorders>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财务状况</w:t>
            </w:r>
          </w:p>
        </w:tc>
        <w:tc>
          <w:tcPr>
            <w:tcW w:w="5468" w:type="dxa"/>
            <w:tcBorders>
              <w:left w:val="single" w:color="auto" w:sz="4" w:space="0"/>
              <w:bottom w:val="single" w:color="auto" w:sz="4" w:space="0"/>
              <w:right w:val="single" w:color="auto" w:sz="4" w:space="0"/>
            </w:tcBorders>
            <w:noWrap/>
            <w:vAlign w:val="center"/>
          </w:tcPr>
          <w:p>
            <w:pPr>
              <w:autoSpaceDE w:val="0"/>
              <w:autoSpaceDN w:val="0"/>
              <w:adjustRightInd w:val="0"/>
              <w:spacing w:line="360" w:lineRule="auto"/>
              <w:rPr>
                <w:rFonts w:ascii="宋体" w:hAnsi="宋体" w:cs="宋体"/>
                <w:bCs/>
                <w:szCs w:val="21"/>
                <w:lang w:val="zh-CN"/>
              </w:rPr>
            </w:pPr>
            <w:r>
              <w:rPr>
                <w:rFonts w:hint="eastAsia" w:ascii="宋体" w:hAnsi="宋体" w:cs="宋体"/>
                <w:bCs/>
                <w:szCs w:val="21"/>
                <w:lang w:val="zh-CN"/>
              </w:rPr>
              <w:t>财务状况良好，提供近</w:t>
            </w:r>
            <w:r>
              <w:rPr>
                <w:rFonts w:hint="eastAsia" w:ascii="宋体" w:hAnsi="宋体" w:cs="宋体"/>
                <w:bCs/>
                <w:szCs w:val="21"/>
              </w:rPr>
              <w:t>3年财务报表。</w:t>
            </w:r>
          </w:p>
        </w:tc>
        <w:tc>
          <w:tcPr>
            <w:tcW w:w="752" w:type="dxa"/>
            <w:tcBorders>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color w:val="0000FF"/>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42" w:type="dxa"/>
            <w:vMerge w:val="continue"/>
            <w:noWrap/>
            <w:vAlign w:val="center"/>
          </w:tcPr>
          <w:p>
            <w:pPr>
              <w:autoSpaceDE w:val="0"/>
              <w:autoSpaceDN w:val="0"/>
              <w:adjustRightInd w:val="0"/>
              <w:spacing w:line="360" w:lineRule="auto"/>
              <w:jc w:val="center"/>
              <w:rPr>
                <w:rFonts w:ascii="宋体" w:hAnsi="宋体" w:cs="宋体"/>
                <w:bCs/>
                <w:szCs w:val="21"/>
                <w:lang w:val="zh-CN"/>
              </w:rPr>
            </w:pPr>
          </w:p>
        </w:tc>
        <w:tc>
          <w:tcPr>
            <w:tcW w:w="1146" w:type="dxa"/>
            <w:vMerge w:val="continue"/>
            <w:tcBorders>
              <w:right w:val="single" w:color="auto" w:sz="4" w:space="0"/>
            </w:tcBorders>
            <w:noWrap/>
            <w:vAlign w:val="center"/>
          </w:tcPr>
          <w:p>
            <w:pPr>
              <w:autoSpaceDE w:val="0"/>
              <w:autoSpaceDN w:val="0"/>
              <w:adjustRightInd w:val="0"/>
              <w:spacing w:line="360" w:lineRule="auto"/>
              <w:jc w:val="center"/>
              <w:rPr>
                <w:rFonts w:ascii="宋体" w:hAnsi="宋体" w:cs="宋体"/>
                <w:bCs/>
                <w:szCs w:val="21"/>
                <w:lang w:val="zh-CN"/>
              </w:rPr>
            </w:pPr>
          </w:p>
        </w:tc>
        <w:tc>
          <w:tcPr>
            <w:tcW w:w="1568" w:type="dxa"/>
            <w:tcBorders>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风险管理</w:t>
            </w:r>
          </w:p>
        </w:tc>
        <w:tc>
          <w:tcPr>
            <w:tcW w:w="5468" w:type="dxa"/>
            <w:tcBorders>
              <w:left w:val="single" w:color="auto" w:sz="4" w:space="0"/>
              <w:bottom w:val="single" w:color="auto" w:sz="4" w:space="0"/>
              <w:right w:val="single" w:color="auto" w:sz="4" w:space="0"/>
            </w:tcBorders>
            <w:noWrap/>
            <w:vAlign w:val="center"/>
          </w:tcPr>
          <w:p>
            <w:pPr>
              <w:autoSpaceDE w:val="0"/>
              <w:autoSpaceDN w:val="0"/>
              <w:adjustRightInd w:val="0"/>
              <w:spacing w:line="360" w:lineRule="auto"/>
              <w:rPr>
                <w:rFonts w:ascii="宋体" w:hAnsi="宋体" w:cs="宋体"/>
                <w:bCs/>
                <w:szCs w:val="21"/>
                <w:lang w:val="zh-CN"/>
              </w:rPr>
            </w:pPr>
            <w:r>
              <w:rPr>
                <w:rFonts w:hint="eastAsia" w:ascii="宋体" w:hAnsi="宋体" w:cs="宋体"/>
                <w:bCs/>
                <w:szCs w:val="21"/>
                <w:lang w:val="zh-CN"/>
              </w:rPr>
              <w:t>风险承担能力良好，提供证明材料。</w:t>
            </w:r>
          </w:p>
        </w:tc>
        <w:tc>
          <w:tcPr>
            <w:tcW w:w="752" w:type="dxa"/>
            <w:tcBorders>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color w:val="0000FF"/>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42" w:type="dxa"/>
            <w:vMerge w:val="continue"/>
            <w:noWrap/>
            <w:vAlign w:val="center"/>
          </w:tcPr>
          <w:p>
            <w:pPr>
              <w:autoSpaceDE w:val="0"/>
              <w:autoSpaceDN w:val="0"/>
              <w:adjustRightInd w:val="0"/>
              <w:spacing w:line="360" w:lineRule="auto"/>
              <w:jc w:val="center"/>
              <w:rPr>
                <w:rFonts w:ascii="宋体" w:hAnsi="宋体" w:cs="宋体"/>
                <w:bCs/>
                <w:szCs w:val="21"/>
                <w:lang w:val="zh-CN"/>
              </w:rPr>
            </w:pPr>
          </w:p>
        </w:tc>
        <w:tc>
          <w:tcPr>
            <w:tcW w:w="1146" w:type="dxa"/>
            <w:vMerge w:val="continue"/>
            <w:tcBorders>
              <w:right w:val="single" w:color="auto" w:sz="4" w:space="0"/>
            </w:tcBorders>
            <w:noWrap/>
            <w:vAlign w:val="center"/>
          </w:tcPr>
          <w:p>
            <w:pPr>
              <w:autoSpaceDE w:val="0"/>
              <w:autoSpaceDN w:val="0"/>
              <w:adjustRightInd w:val="0"/>
              <w:spacing w:line="360" w:lineRule="auto"/>
              <w:jc w:val="center"/>
              <w:rPr>
                <w:rFonts w:ascii="宋体" w:hAnsi="宋体" w:cs="宋体"/>
                <w:bCs/>
                <w:szCs w:val="21"/>
                <w:lang w:val="zh-CN"/>
              </w:rPr>
            </w:pPr>
          </w:p>
        </w:tc>
        <w:tc>
          <w:tcPr>
            <w:tcW w:w="1568" w:type="dxa"/>
            <w:tcBorders>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其他方面</w:t>
            </w:r>
          </w:p>
        </w:tc>
        <w:tc>
          <w:tcPr>
            <w:tcW w:w="5468" w:type="dxa"/>
            <w:tcBorders>
              <w:left w:val="single" w:color="auto" w:sz="4" w:space="0"/>
              <w:bottom w:val="single" w:color="auto" w:sz="4" w:space="0"/>
              <w:right w:val="single" w:color="auto" w:sz="4" w:space="0"/>
            </w:tcBorders>
            <w:noWrap/>
            <w:vAlign w:val="center"/>
          </w:tcPr>
          <w:p>
            <w:pPr>
              <w:autoSpaceDE w:val="0"/>
              <w:autoSpaceDN w:val="0"/>
              <w:adjustRightInd w:val="0"/>
              <w:spacing w:line="360" w:lineRule="auto"/>
              <w:rPr>
                <w:rFonts w:ascii="宋体" w:hAnsi="宋体" w:cs="宋体"/>
                <w:bCs/>
                <w:szCs w:val="21"/>
                <w:lang w:val="zh-CN"/>
              </w:rPr>
            </w:pPr>
            <w:r>
              <w:rPr>
                <w:rFonts w:hint="eastAsia" w:ascii="宋体" w:hAnsi="宋体" w:cs="宋体"/>
                <w:bCs/>
                <w:szCs w:val="21"/>
                <w:lang w:val="zh-CN"/>
              </w:rPr>
              <w:t>服务承诺、优惠条件。</w:t>
            </w:r>
          </w:p>
        </w:tc>
        <w:tc>
          <w:tcPr>
            <w:tcW w:w="752" w:type="dxa"/>
            <w:tcBorders>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color w:val="0000FF"/>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jc w:val="center"/>
        </w:trPr>
        <w:tc>
          <w:tcPr>
            <w:tcW w:w="8924" w:type="dxa"/>
            <w:gridSpan w:val="4"/>
            <w:tcBorders>
              <w:right w:val="single" w:color="auto" w:sz="4" w:space="0"/>
            </w:tcBorders>
            <w:noWrap/>
            <w:vAlign w:val="center"/>
          </w:tcPr>
          <w:p>
            <w:pPr>
              <w:tabs>
                <w:tab w:val="left" w:pos="3830"/>
              </w:tabs>
              <w:autoSpaceDE w:val="0"/>
              <w:autoSpaceDN w:val="0"/>
              <w:adjustRightInd w:val="0"/>
              <w:spacing w:line="360" w:lineRule="auto"/>
              <w:rPr>
                <w:rFonts w:ascii="宋体" w:hAnsi="宋体" w:cs="宋体"/>
                <w:bCs/>
                <w:szCs w:val="21"/>
                <w:lang w:val="zh-CN"/>
              </w:rPr>
            </w:pPr>
            <w:r>
              <w:rPr>
                <w:rFonts w:hint="eastAsia" w:ascii="宋体" w:hAnsi="宋体" w:cs="宋体"/>
                <w:bCs/>
                <w:szCs w:val="21"/>
                <w:lang w:val="zh-CN"/>
              </w:rPr>
              <w:tab/>
            </w:r>
            <w:r>
              <w:rPr>
                <w:rFonts w:hint="eastAsia" w:ascii="宋体" w:hAnsi="宋体" w:cs="宋体"/>
                <w:bCs/>
                <w:szCs w:val="21"/>
                <w:lang w:val="zh-CN"/>
              </w:rPr>
              <w:t>评审结果</w:t>
            </w:r>
          </w:p>
        </w:tc>
        <w:tc>
          <w:tcPr>
            <w:tcW w:w="752"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color w:val="0000FF"/>
                <w:szCs w:val="21"/>
                <w:lang w:val="zh-CN"/>
              </w:rPr>
            </w:pPr>
          </w:p>
        </w:tc>
      </w:tr>
    </w:tbl>
    <w:p>
      <w:pPr>
        <w:spacing w:line="360" w:lineRule="auto"/>
        <w:jc w:val="left"/>
        <w:rPr>
          <w:rFonts w:ascii="宋体" w:hAnsi="宋体" w:cs="宋体"/>
          <w:b/>
          <w:szCs w:val="21"/>
        </w:rPr>
      </w:pPr>
      <w:r>
        <w:rPr>
          <w:rFonts w:hint="eastAsia" w:ascii="宋体" w:hAnsi="宋体"/>
          <w:szCs w:val="21"/>
        </w:rPr>
        <w:t>注：每个评审项目合格打“√”，不合格打“×”。评审结论写“合格”或“不合格”。</w:t>
      </w:r>
    </w:p>
    <w:p>
      <w:pPr>
        <w:rPr>
          <w:rFonts w:ascii="宋体" w:hAnsi="宋体" w:cs="宋体"/>
          <w:b/>
          <w:szCs w:val="21"/>
        </w:rPr>
      </w:pPr>
      <w:r>
        <w:rPr>
          <w:rFonts w:hint="eastAsia" w:ascii="宋体" w:hAnsi="宋体" w:cs="宋体"/>
          <w:b/>
          <w:szCs w:val="21"/>
        </w:rPr>
        <w:t>2.2评标办法附表（二）</w:t>
      </w:r>
    </w:p>
    <w:tbl>
      <w:tblPr>
        <w:tblStyle w:val="6"/>
        <w:tblW w:w="91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926"/>
        <w:gridCol w:w="5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42"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b/>
                <w:lang w:val="zh-CN"/>
              </w:rPr>
            </w:pPr>
            <w:r>
              <w:rPr>
                <w:rFonts w:hint="eastAsia" w:ascii="宋体" w:hAnsi="宋体" w:cs="宋体"/>
                <w:b/>
                <w:lang w:val="zh-CN"/>
              </w:rPr>
              <w:t>条款号</w:t>
            </w:r>
          </w:p>
        </w:tc>
        <w:tc>
          <w:tcPr>
            <w:tcW w:w="192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b/>
                <w:lang w:val="zh-CN"/>
              </w:rPr>
            </w:pPr>
            <w:r>
              <w:rPr>
                <w:rFonts w:hint="eastAsia" w:ascii="宋体" w:hAnsi="宋体" w:cs="宋体"/>
                <w:b/>
                <w:lang w:val="zh-CN"/>
              </w:rPr>
              <w:t>评审因素</w:t>
            </w:r>
          </w:p>
        </w:tc>
        <w:tc>
          <w:tcPr>
            <w:tcW w:w="5962"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b/>
                <w:lang w:val="zh-CN"/>
              </w:rPr>
            </w:pPr>
            <w:r>
              <w:rPr>
                <w:rFonts w:hint="eastAsia" w:ascii="宋体" w:hAnsi="宋体" w:cs="宋体"/>
                <w:b/>
                <w:lang w:val="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42"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lang w:val="zh-CN"/>
              </w:rPr>
            </w:pPr>
            <w:r>
              <w:rPr>
                <w:rFonts w:hint="eastAsia" w:ascii="宋体" w:hAnsi="宋体" w:cs="宋体"/>
                <w:lang w:val="zh-CN"/>
              </w:rPr>
              <w:t>2.2.1</w:t>
            </w:r>
          </w:p>
        </w:tc>
        <w:tc>
          <w:tcPr>
            <w:tcW w:w="192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lang w:val="zh-CN"/>
              </w:rPr>
            </w:pPr>
            <w:r>
              <w:rPr>
                <w:rFonts w:hint="eastAsia" w:ascii="宋体" w:hAnsi="宋体" w:cs="宋体"/>
                <w:lang w:val="zh-CN"/>
              </w:rPr>
              <w:t>分值构成</w:t>
            </w:r>
          </w:p>
          <w:p>
            <w:pPr>
              <w:autoSpaceDE w:val="0"/>
              <w:autoSpaceDN w:val="0"/>
              <w:adjustRightInd w:val="0"/>
              <w:spacing w:line="360" w:lineRule="auto"/>
              <w:jc w:val="center"/>
              <w:rPr>
                <w:rFonts w:ascii="宋体" w:hAnsi="宋体" w:cs="宋体"/>
                <w:lang w:val="zh-CN"/>
              </w:rPr>
            </w:pPr>
            <w:r>
              <w:rPr>
                <w:rFonts w:hint="eastAsia" w:ascii="宋体" w:hAnsi="宋体" w:cs="宋体"/>
                <w:lang w:val="zh-CN"/>
              </w:rPr>
              <w:t>(总分100分)</w:t>
            </w:r>
          </w:p>
        </w:tc>
        <w:tc>
          <w:tcPr>
            <w:tcW w:w="5962" w:type="dxa"/>
            <w:tcBorders>
              <w:top w:val="single" w:color="auto" w:sz="4" w:space="0"/>
              <w:left w:val="single" w:color="auto" w:sz="4" w:space="0"/>
              <w:bottom w:val="single" w:color="auto" w:sz="4" w:space="0"/>
              <w:right w:val="single" w:color="auto" w:sz="4" w:space="0"/>
            </w:tcBorders>
            <w:noWrap/>
            <w:vAlign w:val="center"/>
          </w:tcPr>
          <w:p>
            <w:pPr>
              <w:pStyle w:val="9"/>
            </w:pPr>
            <w:r>
              <w:rPr>
                <w:rFonts w:hint="eastAsia"/>
              </w:rPr>
              <w:t>投标报价评分：15分</w:t>
            </w:r>
          </w:p>
          <w:p>
            <w:pPr>
              <w:pStyle w:val="9"/>
            </w:pPr>
            <w:r>
              <w:rPr>
                <w:rFonts w:hint="eastAsia"/>
              </w:rPr>
              <w:t>资质条件及人力资源配置评分：5分</w:t>
            </w:r>
          </w:p>
          <w:p>
            <w:pPr>
              <w:pStyle w:val="9"/>
            </w:pPr>
            <w:r>
              <w:rPr>
                <w:rFonts w:hint="eastAsia"/>
              </w:rPr>
              <w:t>项目业绩评分：7分</w:t>
            </w:r>
          </w:p>
          <w:p>
            <w:pPr>
              <w:pStyle w:val="9"/>
            </w:pPr>
            <w:r>
              <w:rPr>
                <w:rFonts w:hint="eastAsia" w:ascii="宋体" w:hAnsi="宋体" w:cs="宋体"/>
                <w:bCs/>
                <w:szCs w:val="21"/>
                <w:lang w:val="zh-CN"/>
              </w:rPr>
              <w:t>质量管理评分</w:t>
            </w:r>
            <w:r>
              <w:rPr>
                <w:rFonts w:hint="eastAsia"/>
              </w:rPr>
              <w:t>：40分</w:t>
            </w:r>
          </w:p>
          <w:p>
            <w:pPr>
              <w:pStyle w:val="9"/>
            </w:pPr>
            <w:r>
              <w:rPr>
                <w:rFonts w:hint="eastAsia" w:ascii="宋体" w:hAnsi="宋体" w:cs="宋体"/>
                <w:bCs/>
                <w:szCs w:val="21"/>
                <w:lang w:val="zh-CN"/>
              </w:rPr>
              <w:t>工作方案评分</w:t>
            </w:r>
            <w:r>
              <w:rPr>
                <w:rFonts w:hint="eastAsia"/>
              </w:rPr>
              <w:t>：20分</w:t>
            </w:r>
          </w:p>
          <w:p>
            <w:pPr>
              <w:pStyle w:val="9"/>
            </w:pPr>
            <w:r>
              <w:rPr>
                <w:rFonts w:hint="eastAsia"/>
              </w:rPr>
              <w:t>信息安全评分：3分</w:t>
            </w:r>
          </w:p>
          <w:p>
            <w:pPr>
              <w:pStyle w:val="9"/>
            </w:pPr>
            <w:r>
              <w:rPr>
                <w:rFonts w:hint="eastAsia"/>
              </w:rPr>
              <w:t>财务状况评分：1分</w:t>
            </w:r>
          </w:p>
          <w:p>
            <w:pPr>
              <w:pStyle w:val="9"/>
            </w:pPr>
            <w:r>
              <w:rPr>
                <w:rFonts w:hint="eastAsia"/>
              </w:rPr>
              <w:t>风险管理评分：3分</w:t>
            </w:r>
          </w:p>
          <w:p>
            <w:pPr>
              <w:pStyle w:val="9"/>
            </w:pPr>
            <w:r>
              <w:rPr>
                <w:rFonts w:hint="eastAsia" w:ascii="宋体" w:hAnsi="宋体" w:cs="宋体"/>
                <w:bCs/>
                <w:szCs w:val="21"/>
                <w:lang w:val="zh-CN"/>
              </w:rPr>
              <w:t>服务承诺、优惠条件等其他因素评分：</w:t>
            </w:r>
            <w:r>
              <w:rPr>
                <w:rFonts w:hint="eastAsia" w:ascii="宋体" w:hAnsi="宋体" w:cs="宋体"/>
                <w:bCs/>
                <w:szCs w:val="21"/>
              </w:rPr>
              <w:t>6分</w:t>
            </w:r>
          </w:p>
        </w:tc>
      </w:tr>
    </w:tbl>
    <w:p>
      <w:pPr>
        <w:rPr>
          <w:rFonts w:ascii="宋体" w:hAnsi="宋体" w:cs="宋体"/>
          <w:b/>
          <w:szCs w:val="21"/>
        </w:rPr>
      </w:pPr>
      <w:r>
        <w:rPr>
          <w:rFonts w:hint="eastAsia" w:ascii="宋体" w:hAnsi="宋体" w:cs="宋体"/>
          <w:b/>
          <w:szCs w:val="21"/>
        </w:rPr>
        <w:t>详细评审评分标准</w:t>
      </w:r>
    </w:p>
    <w:tbl>
      <w:tblPr>
        <w:tblStyle w:val="6"/>
        <w:tblW w:w="9170" w:type="dxa"/>
        <w:tblInd w:w="0" w:type="dxa"/>
        <w:tblLayout w:type="fixed"/>
        <w:tblCellMar>
          <w:top w:w="0" w:type="dxa"/>
          <w:left w:w="108" w:type="dxa"/>
          <w:bottom w:w="0" w:type="dxa"/>
          <w:right w:w="108" w:type="dxa"/>
        </w:tblCellMar>
      </w:tblPr>
      <w:tblGrid>
        <w:gridCol w:w="880"/>
        <w:gridCol w:w="816"/>
        <w:gridCol w:w="1755"/>
        <w:gridCol w:w="739"/>
        <w:gridCol w:w="4980"/>
      </w:tblGrid>
      <w:tr>
        <w:tblPrEx>
          <w:tblCellMar>
            <w:top w:w="0" w:type="dxa"/>
            <w:left w:w="108" w:type="dxa"/>
            <w:bottom w:w="0" w:type="dxa"/>
            <w:right w:w="108" w:type="dxa"/>
          </w:tblCellMar>
        </w:tblPrEx>
        <w:trPr>
          <w:trHeight w:val="300" w:hRule="atLeast"/>
        </w:trPr>
        <w:tc>
          <w:tcPr>
            <w:tcW w:w="8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lang w:bidi="km-KH"/>
              </w:rPr>
            </w:pPr>
            <w:r>
              <w:rPr>
                <w:rFonts w:hint="eastAsia" w:ascii="宋体" w:hAnsi="宋体" w:cs="宋体"/>
                <w:b/>
                <w:bCs/>
                <w:kern w:val="0"/>
                <w:lang w:bidi="km-KH"/>
              </w:rPr>
              <w:t>条款号</w:t>
            </w:r>
          </w:p>
        </w:tc>
        <w:tc>
          <w:tcPr>
            <w:tcW w:w="81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lang w:bidi="km-KH"/>
              </w:rPr>
            </w:pPr>
            <w:r>
              <w:rPr>
                <w:rFonts w:hint="eastAsia" w:ascii="宋体" w:hAnsi="宋体" w:cs="宋体"/>
                <w:kern w:val="0"/>
                <w:lang w:bidi="km-KH"/>
              </w:rPr>
              <w:t>项目</w:t>
            </w:r>
          </w:p>
        </w:tc>
        <w:tc>
          <w:tcPr>
            <w:tcW w:w="175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lang w:bidi="km-KH"/>
              </w:rPr>
            </w:pPr>
            <w:r>
              <w:rPr>
                <w:rFonts w:hint="eastAsia" w:ascii="宋体" w:hAnsi="宋体" w:cs="宋体"/>
                <w:kern w:val="0"/>
                <w:lang w:bidi="km-KH"/>
              </w:rPr>
              <w:t>评标分项</w:t>
            </w:r>
          </w:p>
        </w:tc>
        <w:tc>
          <w:tcPr>
            <w:tcW w:w="739"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lang w:bidi="km-KH"/>
              </w:rPr>
            </w:pPr>
            <w:r>
              <w:rPr>
                <w:rFonts w:hint="eastAsia" w:ascii="宋体" w:hAnsi="宋体" w:cs="宋体"/>
                <w:kern w:val="0"/>
                <w:lang w:bidi="km-KH"/>
              </w:rPr>
              <w:t>分值</w:t>
            </w:r>
          </w:p>
        </w:tc>
        <w:tc>
          <w:tcPr>
            <w:tcW w:w="498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lang w:bidi="km-KH"/>
              </w:rPr>
            </w:pPr>
            <w:r>
              <w:rPr>
                <w:rFonts w:hint="eastAsia" w:ascii="宋体" w:hAnsi="宋体" w:cs="宋体"/>
                <w:kern w:val="0"/>
                <w:lang w:bidi="km-KH"/>
              </w:rPr>
              <w:t>子项目及分值</w:t>
            </w:r>
          </w:p>
        </w:tc>
      </w:tr>
      <w:tr>
        <w:tblPrEx>
          <w:tblCellMar>
            <w:top w:w="0" w:type="dxa"/>
            <w:left w:w="108" w:type="dxa"/>
            <w:bottom w:w="0" w:type="dxa"/>
            <w:right w:w="108" w:type="dxa"/>
          </w:tblCellMar>
        </w:tblPrEx>
        <w:trPr>
          <w:trHeight w:val="2208" w:hRule="atLeast"/>
        </w:trPr>
        <w:tc>
          <w:tcPr>
            <w:tcW w:w="880" w:type="dxa"/>
            <w:tcBorders>
              <w:top w:val="nil"/>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lang w:val="zh-CN"/>
              </w:rPr>
            </w:pPr>
            <w:r>
              <w:rPr>
                <w:rFonts w:hint="eastAsia" w:ascii="宋体" w:hAnsi="宋体" w:cs="宋体"/>
                <w:lang w:val="zh-CN"/>
              </w:rPr>
              <w:t>2.2.2（1）</w:t>
            </w:r>
          </w:p>
        </w:tc>
        <w:tc>
          <w:tcPr>
            <w:tcW w:w="816" w:type="dxa"/>
            <w:tcBorders>
              <w:top w:val="nil"/>
              <w:left w:val="nil"/>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lang w:val="zh-CN"/>
              </w:rPr>
            </w:pPr>
            <w:r>
              <w:rPr>
                <w:rFonts w:hint="eastAsia" w:ascii="宋体" w:hAnsi="宋体" w:cs="宋体"/>
                <w:lang w:val="zh-CN"/>
              </w:rPr>
              <w:t>投标价格评分标准</w:t>
            </w:r>
          </w:p>
        </w:tc>
        <w:tc>
          <w:tcPr>
            <w:tcW w:w="1755" w:type="dxa"/>
            <w:tcBorders>
              <w:top w:val="nil"/>
              <w:left w:val="nil"/>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lang w:val="zh-CN"/>
              </w:rPr>
            </w:pPr>
            <w:r>
              <w:rPr>
                <w:rFonts w:hint="eastAsia" w:ascii="宋体" w:hAnsi="宋体" w:cs="宋体"/>
                <w:lang w:val="zh-CN"/>
              </w:rPr>
              <w:t>投标报价</w:t>
            </w:r>
          </w:p>
        </w:tc>
        <w:tc>
          <w:tcPr>
            <w:tcW w:w="739" w:type="dxa"/>
            <w:tcBorders>
              <w:top w:val="nil"/>
              <w:left w:val="nil"/>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rPr>
            </w:pPr>
            <w:r>
              <w:rPr>
                <w:rFonts w:hint="eastAsia" w:ascii="宋体" w:hAnsi="宋体" w:cs="宋体"/>
              </w:rPr>
              <w:t>15</w:t>
            </w:r>
          </w:p>
        </w:tc>
        <w:tc>
          <w:tcPr>
            <w:tcW w:w="4980" w:type="dxa"/>
            <w:tcBorders>
              <w:top w:val="nil"/>
              <w:left w:val="nil"/>
              <w:bottom w:val="single" w:color="auto" w:sz="4" w:space="0"/>
              <w:right w:val="single" w:color="auto" w:sz="4" w:space="0"/>
            </w:tcBorders>
            <w:noWrap/>
            <w:vAlign w:val="center"/>
          </w:tcPr>
          <w:p>
            <w:pPr>
              <w:autoSpaceDE w:val="0"/>
              <w:autoSpaceDN w:val="0"/>
              <w:adjustRightInd w:val="0"/>
              <w:spacing w:line="300" w:lineRule="exact"/>
              <w:rPr>
                <w:rFonts w:ascii="宋体" w:hAnsi="宋体" w:cs="宋体"/>
                <w:bCs/>
                <w:szCs w:val="21"/>
                <w:lang w:val="zh-CN"/>
              </w:rPr>
            </w:pPr>
            <w:r>
              <w:rPr>
                <w:rFonts w:hint="eastAsia" w:ascii="宋体" w:hAnsi="宋体" w:cs="宋体"/>
                <w:bCs/>
                <w:szCs w:val="21"/>
                <w:lang w:val="zh-CN"/>
              </w:rPr>
              <w:t>1、评审基准价为所有通过初步评审合格的有效投标价人投标报价的平均值。</w:t>
            </w:r>
          </w:p>
          <w:p>
            <w:pPr>
              <w:autoSpaceDE w:val="0"/>
              <w:autoSpaceDN w:val="0"/>
              <w:adjustRightInd w:val="0"/>
              <w:spacing w:line="300" w:lineRule="exact"/>
              <w:rPr>
                <w:rFonts w:ascii="宋体" w:hAnsi="宋体" w:cs="宋体"/>
                <w:bCs/>
                <w:szCs w:val="21"/>
                <w:lang w:val="zh-CN"/>
              </w:rPr>
            </w:pPr>
            <w:r>
              <w:rPr>
                <w:rFonts w:hint="eastAsia" w:ascii="宋体" w:hAnsi="宋体" w:cs="宋体"/>
                <w:bCs/>
                <w:szCs w:val="21"/>
                <w:lang w:val="zh-CN"/>
              </w:rPr>
              <w:t>2、有效投标人高于5家的（不含5家），去掉一个最高报价，去掉一个最低报价，进行平均值计算。（保留两位小数）</w:t>
            </w:r>
          </w:p>
          <w:p>
            <w:pPr>
              <w:autoSpaceDE w:val="0"/>
              <w:autoSpaceDN w:val="0"/>
              <w:adjustRightInd w:val="0"/>
              <w:spacing w:line="360" w:lineRule="auto"/>
              <w:jc w:val="left"/>
              <w:rPr>
                <w:rFonts w:ascii="宋体" w:hAnsi="宋体" w:cs="宋体"/>
                <w:lang w:val="zh-CN"/>
              </w:rPr>
            </w:pPr>
            <w:r>
              <w:rPr>
                <w:rFonts w:hint="eastAsia" w:ascii="宋体" w:hAnsi="宋体" w:cs="宋体"/>
                <w:bCs/>
                <w:szCs w:val="21"/>
                <w:lang w:val="zh-CN"/>
              </w:rPr>
              <w:t>价格得分=（1-丨评审基准价-投标报价丨/评审基准价）×投标报价要素所占权重分值。</w:t>
            </w:r>
          </w:p>
        </w:tc>
      </w:tr>
      <w:tr>
        <w:tblPrEx>
          <w:tblCellMar>
            <w:top w:w="0" w:type="dxa"/>
            <w:left w:w="108" w:type="dxa"/>
            <w:bottom w:w="0" w:type="dxa"/>
            <w:right w:w="108" w:type="dxa"/>
          </w:tblCellMar>
        </w:tblPrEx>
        <w:trPr>
          <w:trHeight w:val="90" w:hRule="atLeast"/>
        </w:trPr>
        <w:tc>
          <w:tcPr>
            <w:tcW w:w="880" w:type="dxa"/>
            <w:tcBorders>
              <w:top w:val="nil"/>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lang w:val="zh-CN"/>
              </w:rPr>
            </w:pPr>
            <w:r>
              <w:rPr>
                <w:rFonts w:hint="eastAsia" w:ascii="宋体" w:hAnsi="宋体" w:cs="宋体"/>
                <w:lang w:val="zh-CN"/>
              </w:rPr>
              <w:t>2.2.2（</w:t>
            </w:r>
            <w:r>
              <w:rPr>
                <w:rFonts w:hint="eastAsia" w:ascii="宋体" w:hAnsi="宋体" w:cs="宋体"/>
              </w:rPr>
              <w:t>2</w:t>
            </w:r>
            <w:r>
              <w:rPr>
                <w:rFonts w:hint="eastAsia" w:ascii="宋体" w:hAnsi="宋体" w:cs="宋体"/>
                <w:lang w:val="zh-CN"/>
              </w:rPr>
              <w:t>）</w:t>
            </w:r>
          </w:p>
        </w:tc>
        <w:tc>
          <w:tcPr>
            <w:tcW w:w="816" w:type="dxa"/>
            <w:tcBorders>
              <w:top w:val="nil"/>
              <w:left w:val="nil"/>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lang w:val="zh-CN"/>
              </w:rPr>
            </w:pPr>
            <w:r>
              <w:rPr>
                <w:rFonts w:hint="eastAsia" w:ascii="宋体" w:hAnsi="宋体" w:cs="宋体"/>
                <w:lang w:val="zh-CN"/>
              </w:rPr>
              <w:t>项目业绩评分标准</w:t>
            </w:r>
          </w:p>
        </w:tc>
        <w:tc>
          <w:tcPr>
            <w:tcW w:w="1755" w:type="dxa"/>
            <w:tcBorders>
              <w:top w:val="nil"/>
              <w:left w:val="nil"/>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lang w:val="zh-CN"/>
              </w:rPr>
            </w:pPr>
            <w:r>
              <w:rPr>
                <w:rFonts w:hint="eastAsia" w:ascii="宋体" w:hAnsi="宋体" w:cs="宋体"/>
                <w:lang w:val="zh-CN"/>
              </w:rPr>
              <w:t>类似项目业绩</w:t>
            </w:r>
          </w:p>
        </w:tc>
        <w:tc>
          <w:tcPr>
            <w:tcW w:w="739" w:type="dxa"/>
            <w:tcBorders>
              <w:top w:val="nil"/>
              <w:left w:val="nil"/>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rPr>
            </w:pPr>
            <w:r>
              <w:rPr>
                <w:rFonts w:hint="eastAsia" w:ascii="宋体" w:hAnsi="宋体" w:cs="宋体"/>
              </w:rPr>
              <w:t>7</w:t>
            </w:r>
          </w:p>
        </w:tc>
        <w:tc>
          <w:tcPr>
            <w:tcW w:w="4980" w:type="dxa"/>
            <w:tcBorders>
              <w:top w:val="nil"/>
              <w:left w:val="nil"/>
              <w:bottom w:val="single" w:color="auto" w:sz="4" w:space="0"/>
              <w:right w:val="single" w:color="auto" w:sz="4" w:space="0"/>
            </w:tcBorders>
            <w:noWrap/>
            <w:vAlign w:val="center"/>
          </w:tcPr>
          <w:p>
            <w:pPr>
              <w:autoSpaceDE w:val="0"/>
              <w:autoSpaceDN w:val="0"/>
              <w:adjustRightInd w:val="0"/>
              <w:spacing w:line="360" w:lineRule="auto"/>
              <w:jc w:val="left"/>
              <w:rPr>
                <w:rFonts w:ascii="宋体" w:hAnsi="宋体" w:cs="宋体"/>
                <w:bCs/>
                <w:szCs w:val="21"/>
                <w:lang w:val="zh-CN"/>
              </w:rPr>
            </w:pPr>
            <w:r>
              <w:rPr>
                <w:rFonts w:hint="eastAsia" w:ascii="宋体" w:hAnsi="宋体" w:cs="宋体"/>
                <w:bCs/>
                <w:szCs w:val="21"/>
                <w:lang w:val="zh-CN"/>
              </w:rPr>
              <w:t>近3年完成同类（上市公司年度财务审计）或类似项目业绩，每项业绩1分，未提供此项0分。须提供合同首页及尾页</w:t>
            </w:r>
            <w:r>
              <w:rPr>
                <w:rFonts w:hint="eastAsia" w:ascii="宋体" w:hAnsi="宋体" w:cs="宋体"/>
                <w:bCs/>
                <w:szCs w:val="21"/>
              </w:rPr>
              <w:t>复印件</w:t>
            </w:r>
            <w:r>
              <w:rPr>
                <w:rFonts w:hint="eastAsia" w:ascii="宋体" w:hAnsi="宋体" w:cs="宋体"/>
                <w:bCs/>
                <w:szCs w:val="21"/>
                <w:lang w:val="zh-CN"/>
              </w:rPr>
              <w:t>加盖公章。</w:t>
            </w:r>
          </w:p>
        </w:tc>
      </w:tr>
      <w:tr>
        <w:tblPrEx>
          <w:tblCellMar>
            <w:top w:w="0" w:type="dxa"/>
            <w:left w:w="108" w:type="dxa"/>
            <w:bottom w:w="0" w:type="dxa"/>
            <w:right w:w="108" w:type="dxa"/>
          </w:tblCellMar>
        </w:tblPrEx>
        <w:trPr>
          <w:trHeight w:val="1449" w:hRule="atLeast"/>
        </w:trPr>
        <w:tc>
          <w:tcPr>
            <w:tcW w:w="880" w:type="dxa"/>
            <w:tcBorders>
              <w:top w:val="nil"/>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lang w:val="zh-CN"/>
              </w:rPr>
            </w:pPr>
            <w:r>
              <w:rPr>
                <w:rFonts w:hint="eastAsia" w:ascii="宋体" w:hAnsi="宋体" w:cs="宋体"/>
                <w:lang w:val="zh-CN"/>
              </w:rPr>
              <w:t>2.2.2（</w:t>
            </w:r>
            <w:r>
              <w:rPr>
                <w:rFonts w:hint="eastAsia" w:ascii="宋体" w:hAnsi="宋体" w:cs="宋体"/>
              </w:rPr>
              <w:t>3</w:t>
            </w:r>
            <w:r>
              <w:rPr>
                <w:rFonts w:hint="eastAsia" w:ascii="宋体" w:hAnsi="宋体" w:cs="宋体"/>
                <w:lang w:val="zh-CN"/>
              </w:rPr>
              <w:t>）</w:t>
            </w:r>
          </w:p>
        </w:tc>
        <w:tc>
          <w:tcPr>
            <w:tcW w:w="816" w:type="dxa"/>
            <w:tcBorders>
              <w:top w:val="nil"/>
              <w:left w:val="nil"/>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lang w:val="zh-CN"/>
              </w:rPr>
            </w:pPr>
            <w:r>
              <w:rPr>
                <w:rFonts w:hint="eastAsia" w:ascii="宋体" w:hAnsi="宋体" w:cs="宋体"/>
                <w:szCs w:val="24"/>
                <w:lang w:val="zh-CN"/>
              </w:rPr>
              <w:t>企业实力评分标准</w:t>
            </w:r>
          </w:p>
        </w:tc>
        <w:tc>
          <w:tcPr>
            <w:tcW w:w="1755" w:type="dxa"/>
            <w:tcBorders>
              <w:top w:val="nil"/>
              <w:left w:val="nil"/>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lang w:val="zh-CN"/>
              </w:rPr>
            </w:pPr>
            <w:r>
              <w:rPr>
                <w:rFonts w:hint="eastAsia" w:ascii="宋体" w:hAnsi="宋体" w:cs="宋体"/>
                <w:szCs w:val="24"/>
                <w:lang w:val="zh-CN"/>
              </w:rPr>
              <w:t>资质条件及人力资源配置</w:t>
            </w:r>
          </w:p>
        </w:tc>
        <w:tc>
          <w:tcPr>
            <w:tcW w:w="739" w:type="dxa"/>
            <w:tcBorders>
              <w:top w:val="nil"/>
              <w:left w:val="nil"/>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rPr>
            </w:pPr>
            <w:r>
              <w:rPr>
                <w:rFonts w:hint="eastAsia" w:ascii="宋体" w:hAnsi="宋体" w:cs="宋体"/>
              </w:rPr>
              <w:t>5</w:t>
            </w:r>
          </w:p>
        </w:tc>
        <w:tc>
          <w:tcPr>
            <w:tcW w:w="4980" w:type="dxa"/>
            <w:tcBorders>
              <w:top w:val="nil"/>
              <w:left w:val="nil"/>
              <w:bottom w:val="single" w:color="auto" w:sz="4" w:space="0"/>
              <w:right w:val="single" w:color="auto" w:sz="4" w:space="0"/>
            </w:tcBorders>
            <w:noWrap/>
            <w:vAlign w:val="center"/>
          </w:tcPr>
          <w:p>
            <w:pPr>
              <w:autoSpaceDE w:val="0"/>
              <w:autoSpaceDN w:val="0"/>
              <w:adjustRightInd w:val="0"/>
              <w:spacing w:line="360" w:lineRule="auto"/>
              <w:jc w:val="left"/>
              <w:rPr>
                <w:rFonts w:ascii="宋体" w:hAnsi="宋体" w:cs="宋体"/>
                <w:bCs/>
                <w:szCs w:val="21"/>
                <w:lang w:val="zh-CN"/>
              </w:rPr>
            </w:pPr>
            <w:r>
              <w:rPr>
                <w:rFonts w:hint="eastAsia" w:ascii="宋体" w:hAnsi="宋体" w:cs="宋体"/>
                <w:bCs/>
                <w:szCs w:val="21"/>
                <w:lang w:val="zh-CN"/>
              </w:rPr>
              <w:t>人力配置及资质条件最好得4-5分，较好得2-3分，一般得1分，未提供此项得0分。须提供会计师事务所信息一览表、相关资质复印件。</w:t>
            </w:r>
          </w:p>
        </w:tc>
      </w:tr>
      <w:tr>
        <w:tblPrEx>
          <w:tblCellMar>
            <w:top w:w="0" w:type="dxa"/>
            <w:left w:w="108" w:type="dxa"/>
            <w:bottom w:w="0" w:type="dxa"/>
            <w:right w:w="108" w:type="dxa"/>
          </w:tblCellMar>
        </w:tblPrEx>
        <w:trPr>
          <w:trHeight w:val="274" w:hRule="atLeast"/>
        </w:trPr>
        <w:tc>
          <w:tcPr>
            <w:tcW w:w="880" w:type="dxa"/>
            <w:tcBorders>
              <w:top w:val="nil"/>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lang w:val="zh-CN"/>
              </w:rPr>
            </w:pPr>
            <w:r>
              <w:rPr>
                <w:rFonts w:hint="eastAsia" w:ascii="宋体" w:hAnsi="宋体" w:cs="宋体"/>
                <w:lang w:val="zh-CN"/>
              </w:rPr>
              <w:t>2.2.2（</w:t>
            </w:r>
            <w:r>
              <w:rPr>
                <w:rFonts w:hint="eastAsia" w:ascii="宋体" w:hAnsi="宋体" w:cs="宋体"/>
              </w:rPr>
              <w:t>4</w:t>
            </w:r>
            <w:r>
              <w:rPr>
                <w:rFonts w:hint="eastAsia" w:ascii="宋体" w:hAnsi="宋体" w:cs="宋体"/>
                <w:lang w:val="zh-CN"/>
              </w:rPr>
              <w:t>）</w:t>
            </w:r>
          </w:p>
        </w:tc>
        <w:tc>
          <w:tcPr>
            <w:tcW w:w="816" w:type="dxa"/>
            <w:tcBorders>
              <w:top w:val="nil"/>
              <w:left w:val="nil"/>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szCs w:val="24"/>
                <w:lang w:val="zh-CN"/>
              </w:rPr>
            </w:pPr>
            <w:r>
              <w:rPr>
                <w:rFonts w:hint="eastAsia" w:ascii="宋体" w:hAnsi="宋体" w:cs="宋体"/>
                <w:szCs w:val="24"/>
                <w:lang w:val="zh-CN"/>
              </w:rPr>
              <w:t>质量管理评分标准</w:t>
            </w:r>
          </w:p>
        </w:tc>
        <w:tc>
          <w:tcPr>
            <w:tcW w:w="1755" w:type="dxa"/>
            <w:tcBorders>
              <w:top w:val="nil"/>
              <w:left w:val="nil"/>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szCs w:val="24"/>
                <w:lang w:val="zh-CN"/>
              </w:rPr>
            </w:pPr>
            <w:r>
              <w:rPr>
                <w:rFonts w:hint="eastAsia" w:ascii="宋体" w:hAnsi="宋体" w:cs="宋体"/>
                <w:lang w:val="zh-CN"/>
              </w:rPr>
              <w:t>质量管理水平</w:t>
            </w:r>
          </w:p>
        </w:tc>
        <w:tc>
          <w:tcPr>
            <w:tcW w:w="739" w:type="dxa"/>
            <w:tcBorders>
              <w:top w:val="nil"/>
              <w:left w:val="nil"/>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rPr>
            </w:pPr>
            <w:r>
              <w:rPr>
                <w:rFonts w:hint="eastAsia" w:ascii="宋体" w:hAnsi="宋体" w:cs="宋体"/>
              </w:rPr>
              <w:t>40</w:t>
            </w:r>
          </w:p>
        </w:tc>
        <w:tc>
          <w:tcPr>
            <w:tcW w:w="4980" w:type="dxa"/>
            <w:tcBorders>
              <w:top w:val="nil"/>
              <w:left w:val="nil"/>
              <w:bottom w:val="single" w:color="auto" w:sz="4" w:space="0"/>
              <w:right w:val="single" w:color="auto" w:sz="4" w:space="0"/>
            </w:tcBorders>
            <w:noWrap/>
            <w:vAlign w:val="center"/>
          </w:tcPr>
          <w:p>
            <w:pPr>
              <w:autoSpaceDE w:val="0"/>
              <w:autoSpaceDN w:val="0"/>
              <w:adjustRightInd w:val="0"/>
              <w:spacing w:line="360" w:lineRule="auto"/>
              <w:jc w:val="left"/>
              <w:rPr>
                <w:rFonts w:ascii="宋体" w:hAnsi="宋体" w:cs="宋体"/>
                <w:bCs/>
                <w:szCs w:val="21"/>
                <w:lang w:val="zh-CN"/>
              </w:rPr>
            </w:pPr>
            <w:r>
              <w:rPr>
                <w:rFonts w:hint="eastAsia" w:ascii="宋体" w:hAnsi="宋体" w:cs="宋体"/>
                <w:bCs/>
                <w:szCs w:val="21"/>
                <w:lang w:val="zh-CN"/>
              </w:rPr>
              <w:t>质量管理水平优异，得38-40分；质量管理水平优良，得35-37分；质量管理水平一般，得30-34分；会计师事务所近3年有1个以上审计项目正被立案调查的再减5分；会计师事务所近3年因执业质量有1次以上行政处罚的再减10分；未提供此项0分。重点评价质量管理制度，包括项目咨询、意见分歧解决、项目质量复核、项目质量检查、质量管理缺陷识别与整改等方面的政策与程序。</w:t>
            </w:r>
          </w:p>
        </w:tc>
      </w:tr>
      <w:tr>
        <w:tblPrEx>
          <w:tblCellMar>
            <w:top w:w="0" w:type="dxa"/>
            <w:left w:w="108" w:type="dxa"/>
            <w:bottom w:w="0" w:type="dxa"/>
            <w:right w:w="108" w:type="dxa"/>
          </w:tblCellMar>
        </w:tblPrEx>
        <w:trPr>
          <w:trHeight w:val="1722" w:hRule="atLeast"/>
        </w:trPr>
        <w:tc>
          <w:tcPr>
            <w:tcW w:w="880" w:type="dxa"/>
            <w:tcBorders>
              <w:top w:val="nil"/>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lang w:val="zh-CN"/>
              </w:rPr>
            </w:pPr>
            <w:r>
              <w:rPr>
                <w:rFonts w:hint="eastAsia" w:ascii="宋体" w:hAnsi="宋体" w:cs="宋体"/>
                <w:lang w:val="zh-CN"/>
              </w:rPr>
              <w:t>2.2.2（</w:t>
            </w:r>
            <w:r>
              <w:rPr>
                <w:rFonts w:hint="eastAsia" w:ascii="宋体" w:hAnsi="宋体" w:cs="宋体"/>
              </w:rPr>
              <w:t>5</w:t>
            </w:r>
            <w:r>
              <w:rPr>
                <w:rFonts w:hint="eastAsia" w:ascii="宋体" w:hAnsi="宋体" w:cs="宋体"/>
                <w:lang w:val="zh-CN"/>
              </w:rPr>
              <w:t>）</w:t>
            </w:r>
          </w:p>
        </w:tc>
        <w:tc>
          <w:tcPr>
            <w:tcW w:w="816" w:type="dxa"/>
            <w:tcBorders>
              <w:top w:val="nil"/>
              <w:left w:val="nil"/>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szCs w:val="24"/>
                <w:lang w:val="zh-CN"/>
              </w:rPr>
            </w:pPr>
            <w:r>
              <w:rPr>
                <w:rFonts w:hint="eastAsia" w:ascii="宋体" w:hAnsi="宋体" w:cs="宋体"/>
                <w:szCs w:val="24"/>
                <w:lang w:val="zh-CN"/>
              </w:rPr>
              <w:t>工作方案评分标准</w:t>
            </w:r>
          </w:p>
        </w:tc>
        <w:tc>
          <w:tcPr>
            <w:tcW w:w="1755" w:type="dxa"/>
            <w:tcBorders>
              <w:top w:val="nil"/>
              <w:left w:val="nil"/>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lang w:val="zh-CN"/>
              </w:rPr>
            </w:pPr>
            <w:r>
              <w:rPr>
                <w:rFonts w:hint="eastAsia" w:ascii="宋体" w:hAnsi="宋体" w:cs="宋体"/>
                <w:lang w:val="zh-CN"/>
              </w:rPr>
              <w:t>工作方案</w:t>
            </w:r>
          </w:p>
        </w:tc>
        <w:tc>
          <w:tcPr>
            <w:tcW w:w="739" w:type="dxa"/>
            <w:tcBorders>
              <w:top w:val="nil"/>
              <w:left w:val="nil"/>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rPr>
            </w:pPr>
            <w:r>
              <w:rPr>
                <w:rFonts w:hint="eastAsia" w:ascii="宋体" w:hAnsi="宋体" w:cs="宋体"/>
              </w:rPr>
              <w:t>20</w:t>
            </w:r>
          </w:p>
        </w:tc>
        <w:tc>
          <w:tcPr>
            <w:tcW w:w="4980" w:type="dxa"/>
            <w:tcBorders>
              <w:top w:val="nil"/>
              <w:left w:val="nil"/>
              <w:bottom w:val="single" w:color="auto" w:sz="4" w:space="0"/>
              <w:right w:val="single" w:color="auto" w:sz="4" w:space="0"/>
            </w:tcBorders>
            <w:noWrap/>
            <w:vAlign w:val="center"/>
          </w:tcPr>
          <w:p>
            <w:pPr>
              <w:autoSpaceDE w:val="0"/>
              <w:autoSpaceDN w:val="0"/>
              <w:adjustRightInd w:val="0"/>
              <w:spacing w:line="360" w:lineRule="auto"/>
              <w:jc w:val="left"/>
              <w:rPr>
                <w:rFonts w:ascii="宋体" w:hAnsi="宋体" w:cs="宋体"/>
                <w:bCs/>
                <w:szCs w:val="21"/>
                <w:lang w:val="zh-CN"/>
              </w:rPr>
            </w:pPr>
            <w:r>
              <w:rPr>
                <w:rFonts w:hint="eastAsia" w:ascii="宋体" w:hAnsi="宋体" w:cs="宋体"/>
                <w:bCs/>
                <w:szCs w:val="21"/>
                <w:lang w:val="zh-CN"/>
              </w:rPr>
              <w:t>针对本项目提供完整、合理、可行的工作方案，方案包括服务团队配置等方面，优得17-20分，良好得</w:t>
            </w:r>
            <w:r>
              <w:rPr>
                <w:rFonts w:hint="eastAsia" w:ascii="宋体" w:hAnsi="宋体" w:cs="宋体"/>
                <w:bCs/>
                <w:szCs w:val="21"/>
              </w:rPr>
              <w:t>14-16</w:t>
            </w:r>
            <w:r>
              <w:rPr>
                <w:rFonts w:hint="eastAsia" w:ascii="宋体" w:hAnsi="宋体" w:cs="宋体"/>
                <w:bCs/>
                <w:szCs w:val="21"/>
                <w:lang w:val="zh-CN"/>
              </w:rPr>
              <w:t>分；一般得</w:t>
            </w:r>
            <w:r>
              <w:rPr>
                <w:rFonts w:hint="eastAsia" w:ascii="宋体" w:hAnsi="宋体" w:cs="宋体"/>
                <w:bCs/>
                <w:szCs w:val="21"/>
              </w:rPr>
              <w:t>10-13分</w:t>
            </w:r>
            <w:r>
              <w:rPr>
                <w:rFonts w:hint="eastAsia" w:ascii="宋体" w:hAnsi="宋体" w:cs="宋体"/>
                <w:bCs/>
                <w:szCs w:val="21"/>
                <w:lang w:val="zh-CN"/>
              </w:rPr>
              <w:t>；未提供此项得0分。</w:t>
            </w:r>
          </w:p>
        </w:tc>
      </w:tr>
      <w:tr>
        <w:tblPrEx>
          <w:tblCellMar>
            <w:top w:w="0" w:type="dxa"/>
            <w:left w:w="108" w:type="dxa"/>
            <w:bottom w:w="0" w:type="dxa"/>
            <w:right w:w="108" w:type="dxa"/>
          </w:tblCellMar>
        </w:tblPrEx>
        <w:trPr>
          <w:trHeight w:val="535" w:hRule="atLeast"/>
        </w:trPr>
        <w:tc>
          <w:tcPr>
            <w:tcW w:w="880" w:type="dxa"/>
            <w:tcBorders>
              <w:top w:val="nil"/>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lang w:val="zh-CN"/>
              </w:rPr>
            </w:pPr>
            <w:r>
              <w:rPr>
                <w:rFonts w:hint="eastAsia" w:ascii="宋体" w:hAnsi="宋体" w:cs="宋体"/>
                <w:lang w:val="zh-CN"/>
              </w:rPr>
              <w:t>2.2.2（</w:t>
            </w:r>
            <w:r>
              <w:rPr>
                <w:rFonts w:hint="eastAsia" w:ascii="宋体" w:hAnsi="宋体" w:cs="宋体"/>
              </w:rPr>
              <w:t>6</w:t>
            </w:r>
            <w:r>
              <w:rPr>
                <w:rFonts w:hint="eastAsia" w:ascii="宋体" w:hAnsi="宋体" w:cs="宋体"/>
                <w:lang w:val="zh-CN"/>
              </w:rPr>
              <w:t>）</w:t>
            </w:r>
          </w:p>
        </w:tc>
        <w:tc>
          <w:tcPr>
            <w:tcW w:w="816" w:type="dxa"/>
            <w:tcBorders>
              <w:top w:val="nil"/>
              <w:left w:val="nil"/>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szCs w:val="24"/>
                <w:lang w:val="zh-CN"/>
              </w:rPr>
            </w:pPr>
            <w:r>
              <w:rPr>
                <w:rFonts w:hint="eastAsia" w:ascii="宋体" w:hAnsi="宋体" w:cs="宋体"/>
                <w:szCs w:val="24"/>
                <w:lang w:val="zh-CN"/>
              </w:rPr>
              <w:t>信息安全评分标准</w:t>
            </w:r>
          </w:p>
        </w:tc>
        <w:tc>
          <w:tcPr>
            <w:tcW w:w="1755" w:type="dxa"/>
            <w:tcBorders>
              <w:top w:val="nil"/>
              <w:left w:val="nil"/>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lang w:val="zh-CN"/>
              </w:rPr>
            </w:pPr>
            <w:r>
              <w:rPr>
                <w:rFonts w:hint="eastAsia" w:ascii="宋体" w:hAnsi="宋体" w:cs="宋体"/>
                <w:lang w:val="zh-CN"/>
              </w:rPr>
              <w:t>信息安全管理</w:t>
            </w:r>
          </w:p>
        </w:tc>
        <w:tc>
          <w:tcPr>
            <w:tcW w:w="739" w:type="dxa"/>
            <w:tcBorders>
              <w:top w:val="nil"/>
              <w:left w:val="nil"/>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rPr>
            </w:pPr>
            <w:r>
              <w:rPr>
                <w:rFonts w:hint="eastAsia" w:ascii="宋体" w:hAnsi="宋体" w:cs="宋体"/>
              </w:rPr>
              <w:t>3</w:t>
            </w:r>
          </w:p>
        </w:tc>
        <w:tc>
          <w:tcPr>
            <w:tcW w:w="4980" w:type="dxa"/>
            <w:tcBorders>
              <w:top w:val="nil"/>
              <w:left w:val="nil"/>
              <w:bottom w:val="single" w:color="auto" w:sz="4" w:space="0"/>
              <w:right w:val="single" w:color="auto" w:sz="4" w:space="0"/>
            </w:tcBorders>
            <w:noWrap/>
            <w:vAlign w:val="center"/>
          </w:tcPr>
          <w:p>
            <w:pPr>
              <w:autoSpaceDE w:val="0"/>
              <w:autoSpaceDN w:val="0"/>
              <w:adjustRightInd w:val="0"/>
              <w:spacing w:line="360" w:lineRule="auto"/>
              <w:jc w:val="left"/>
              <w:rPr>
                <w:rFonts w:ascii="宋体" w:hAnsi="宋体" w:cs="宋体"/>
                <w:bCs/>
                <w:szCs w:val="21"/>
                <w:lang w:val="zh-CN"/>
              </w:rPr>
            </w:pPr>
            <w:r>
              <w:rPr>
                <w:rFonts w:hint="eastAsia" w:ascii="宋体" w:hAnsi="宋体" w:cs="宋体"/>
                <w:bCs/>
                <w:szCs w:val="21"/>
                <w:lang w:val="zh-CN"/>
              </w:rPr>
              <w:t>针对本项目提供信息安全保障措施，充分保证我公司信息安全，对涉密敏感信息的管控措施有效，能够确保防范信息泄露，得3分；能够承诺保证我公司信息安全，对涉密敏感信息的管控措施方法一般，认真落实监管部门对信息安全的监管要求。得1-2分；信息安全措施不充分，管理措施漏洞较多不得分。</w:t>
            </w:r>
          </w:p>
        </w:tc>
      </w:tr>
      <w:tr>
        <w:tblPrEx>
          <w:tblCellMar>
            <w:top w:w="0" w:type="dxa"/>
            <w:left w:w="108" w:type="dxa"/>
            <w:bottom w:w="0" w:type="dxa"/>
            <w:right w:w="108" w:type="dxa"/>
          </w:tblCellMar>
        </w:tblPrEx>
        <w:trPr>
          <w:trHeight w:val="535" w:hRule="atLeast"/>
        </w:trPr>
        <w:tc>
          <w:tcPr>
            <w:tcW w:w="880" w:type="dxa"/>
            <w:tcBorders>
              <w:top w:val="nil"/>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lang w:val="zh-CN"/>
              </w:rPr>
            </w:pPr>
            <w:r>
              <w:rPr>
                <w:rFonts w:hint="eastAsia" w:ascii="宋体" w:hAnsi="宋体" w:cs="宋体"/>
                <w:lang w:val="zh-CN"/>
              </w:rPr>
              <w:t>2.2.2（</w:t>
            </w:r>
            <w:r>
              <w:rPr>
                <w:rFonts w:hint="eastAsia" w:ascii="宋体" w:hAnsi="宋体" w:cs="宋体"/>
              </w:rPr>
              <w:t>7</w:t>
            </w:r>
            <w:r>
              <w:rPr>
                <w:rFonts w:hint="eastAsia" w:ascii="宋体" w:hAnsi="宋体" w:cs="宋体"/>
                <w:lang w:val="zh-CN"/>
              </w:rPr>
              <w:t>）</w:t>
            </w:r>
          </w:p>
        </w:tc>
        <w:tc>
          <w:tcPr>
            <w:tcW w:w="816" w:type="dxa"/>
            <w:tcBorders>
              <w:top w:val="nil"/>
              <w:left w:val="nil"/>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szCs w:val="24"/>
                <w:lang w:val="zh-CN"/>
              </w:rPr>
            </w:pPr>
            <w:r>
              <w:rPr>
                <w:rFonts w:hint="eastAsia" w:ascii="宋体" w:hAnsi="宋体" w:cs="宋体"/>
                <w:szCs w:val="24"/>
                <w:lang w:val="zh-CN"/>
              </w:rPr>
              <w:t>财务状况评分标准</w:t>
            </w:r>
          </w:p>
        </w:tc>
        <w:tc>
          <w:tcPr>
            <w:tcW w:w="1755" w:type="dxa"/>
            <w:tcBorders>
              <w:top w:val="nil"/>
              <w:left w:val="nil"/>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lang w:val="zh-CN"/>
              </w:rPr>
            </w:pPr>
            <w:r>
              <w:rPr>
                <w:rFonts w:hint="eastAsia" w:ascii="宋体" w:hAnsi="宋体" w:cs="宋体"/>
                <w:lang w:val="zh-CN"/>
              </w:rPr>
              <w:t>财务状况</w:t>
            </w:r>
          </w:p>
        </w:tc>
        <w:tc>
          <w:tcPr>
            <w:tcW w:w="739" w:type="dxa"/>
            <w:tcBorders>
              <w:top w:val="nil"/>
              <w:left w:val="nil"/>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rPr>
            </w:pPr>
            <w:r>
              <w:rPr>
                <w:rFonts w:hint="eastAsia" w:ascii="宋体" w:hAnsi="宋体" w:cs="宋体"/>
              </w:rPr>
              <w:t>1</w:t>
            </w:r>
          </w:p>
        </w:tc>
        <w:tc>
          <w:tcPr>
            <w:tcW w:w="4980" w:type="dxa"/>
            <w:tcBorders>
              <w:top w:val="nil"/>
              <w:left w:val="nil"/>
              <w:bottom w:val="single" w:color="auto" w:sz="4" w:space="0"/>
              <w:right w:val="single" w:color="auto" w:sz="4" w:space="0"/>
            </w:tcBorders>
            <w:noWrap/>
            <w:vAlign w:val="center"/>
          </w:tcPr>
          <w:p>
            <w:pPr>
              <w:autoSpaceDE w:val="0"/>
              <w:autoSpaceDN w:val="0"/>
              <w:adjustRightInd w:val="0"/>
              <w:spacing w:line="360" w:lineRule="auto"/>
              <w:jc w:val="left"/>
              <w:rPr>
                <w:rFonts w:ascii="宋体" w:hAnsi="宋体" w:cs="宋体"/>
                <w:bCs/>
                <w:szCs w:val="21"/>
                <w:lang w:val="zh-CN"/>
              </w:rPr>
            </w:pPr>
            <w:r>
              <w:rPr>
                <w:rFonts w:hint="eastAsia" w:ascii="宋体" w:hAnsi="宋体" w:cs="宋体"/>
                <w:bCs/>
                <w:szCs w:val="21"/>
                <w:lang w:val="zh-CN"/>
              </w:rPr>
              <w:t>财务状况良好得1分，亏损或未提供此项得0分。须提供近</w:t>
            </w:r>
            <w:r>
              <w:rPr>
                <w:rFonts w:hint="eastAsia" w:ascii="宋体" w:hAnsi="宋体" w:cs="宋体"/>
                <w:bCs/>
                <w:szCs w:val="21"/>
              </w:rPr>
              <w:t>3年财务报表</w:t>
            </w:r>
            <w:r>
              <w:rPr>
                <w:rFonts w:hint="eastAsia" w:ascii="宋体" w:hAnsi="宋体" w:cs="宋体"/>
                <w:bCs/>
                <w:szCs w:val="21"/>
                <w:lang w:val="zh-CN"/>
              </w:rPr>
              <w:t>。</w:t>
            </w:r>
          </w:p>
        </w:tc>
      </w:tr>
      <w:tr>
        <w:tblPrEx>
          <w:tblCellMar>
            <w:top w:w="0" w:type="dxa"/>
            <w:left w:w="108" w:type="dxa"/>
            <w:bottom w:w="0" w:type="dxa"/>
            <w:right w:w="108" w:type="dxa"/>
          </w:tblCellMar>
        </w:tblPrEx>
        <w:trPr>
          <w:trHeight w:val="535" w:hRule="atLeast"/>
        </w:trPr>
        <w:tc>
          <w:tcPr>
            <w:tcW w:w="880" w:type="dxa"/>
            <w:tcBorders>
              <w:top w:val="single" w:color="auto" w:sz="4" w:space="0"/>
              <w:left w:val="single" w:color="auto" w:sz="4" w:space="0"/>
              <w:bottom w:val="single" w:color="auto" w:sz="4" w:space="0"/>
              <w:right w:val="single" w:color="auto" w:sz="4" w:space="0"/>
            </w:tcBorders>
            <w:noWrap/>
            <w:vAlign w:val="center"/>
          </w:tcPr>
          <w:p>
            <w:pPr>
              <w:tabs>
                <w:tab w:val="left" w:pos="458"/>
              </w:tabs>
              <w:autoSpaceDE w:val="0"/>
              <w:autoSpaceDN w:val="0"/>
              <w:adjustRightInd w:val="0"/>
              <w:spacing w:line="360" w:lineRule="auto"/>
              <w:jc w:val="center"/>
              <w:rPr>
                <w:rFonts w:ascii="宋体" w:hAnsi="宋体" w:cs="宋体"/>
                <w:lang w:val="zh-CN"/>
              </w:rPr>
            </w:pPr>
            <w:r>
              <w:rPr>
                <w:rFonts w:hint="eastAsia" w:ascii="宋体" w:hAnsi="宋体" w:cs="宋体"/>
                <w:lang w:val="zh-CN"/>
              </w:rPr>
              <w:t>2.2.2（</w:t>
            </w:r>
            <w:r>
              <w:rPr>
                <w:rFonts w:hint="eastAsia" w:ascii="宋体" w:hAnsi="宋体" w:cs="宋体"/>
              </w:rPr>
              <w:t>8</w:t>
            </w:r>
            <w:r>
              <w:rPr>
                <w:rFonts w:hint="eastAsia" w:ascii="宋体" w:hAnsi="宋体" w:cs="宋体"/>
                <w:lang w:val="zh-CN"/>
              </w:rPr>
              <w:t>）</w:t>
            </w:r>
          </w:p>
        </w:tc>
        <w:tc>
          <w:tcPr>
            <w:tcW w:w="8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szCs w:val="24"/>
                <w:lang w:val="zh-CN"/>
              </w:rPr>
            </w:pPr>
            <w:r>
              <w:rPr>
                <w:rFonts w:hint="eastAsia" w:ascii="宋体" w:hAnsi="宋体" w:cs="宋体"/>
                <w:szCs w:val="24"/>
                <w:lang w:val="zh-CN"/>
              </w:rPr>
              <w:t>风险管理评分标准</w:t>
            </w:r>
          </w:p>
        </w:tc>
        <w:tc>
          <w:tcPr>
            <w:tcW w:w="17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lang w:val="zh-CN"/>
              </w:rPr>
            </w:pPr>
            <w:r>
              <w:rPr>
                <w:rFonts w:hint="eastAsia" w:ascii="宋体" w:hAnsi="宋体" w:cs="宋体"/>
                <w:lang w:val="zh-CN"/>
              </w:rPr>
              <w:t>风险承担能力</w:t>
            </w:r>
          </w:p>
        </w:tc>
        <w:tc>
          <w:tcPr>
            <w:tcW w:w="73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rPr>
            </w:pPr>
            <w:r>
              <w:rPr>
                <w:rFonts w:hint="eastAsia" w:ascii="宋体" w:hAnsi="宋体" w:cs="宋体"/>
              </w:rPr>
              <w:t>3</w:t>
            </w:r>
          </w:p>
        </w:tc>
        <w:tc>
          <w:tcPr>
            <w:tcW w:w="498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left"/>
              <w:rPr>
                <w:rFonts w:ascii="宋体" w:hAnsi="宋体" w:cs="宋体"/>
                <w:bCs/>
                <w:szCs w:val="21"/>
                <w:lang w:val="zh-CN"/>
              </w:rPr>
            </w:pPr>
            <w:r>
              <w:rPr>
                <w:rFonts w:hint="eastAsia" w:ascii="宋体" w:hAnsi="宋体" w:cs="宋体"/>
                <w:bCs/>
                <w:szCs w:val="21"/>
                <w:lang w:val="zh-CN"/>
              </w:rPr>
              <w:t>针对本项目提供风险承担能力相关材料，投标单位风险承担能力高得3分，风险承担能力一般得2分，风险承担能力低得0分。</w:t>
            </w:r>
          </w:p>
        </w:tc>
      </w:tr>
      <w:tr>
        <w:tblPrEx>
          <w:tblCellMar>
            <w:top w:w="0" w:type="dxa"/>
            <w:left w:w="108" w:type="dxa"/>
            <w:bottom w:w="0" w:type="dxa"/>
            <w:right w:w="108" w:type="dxa"/>
          </w:tblCellMar>
        </w:tblPrEx>
        <w:trPr>
          <w:trHeight w:val="535" w:hRule="atLeast"/>
        </w:trPr>
        <w:tc>
          <w:tcPr>
            <w:tcW w:w="880" w:type="dxa"/>
            <w:vMerge w:val="restart"/>
            <w:tcBorders>
              <w:top w:val="single" w:color="auto" w:sz="4" w:space="0"/>
              <w:left w:val="single" w:color="auto" w:sz="4" w:space="0"/>
              <w:right w:val="single" w:color="auto" w:sz="4" w:space="0"/>
            </w:tcBorders>
            <w:noWrap/>
            <w:vAlign w:val="center"/>
          </w:tcPr>
          <w:p>
            <w:pPr>
              <w:tabs>
                <w:tab w:val="left" w:pos="458"/>
              </w:tabs>
              <w:autoSpaceDE w:val="0"/>
              <w:autoSpaceDN w:val="0"/>
              <w:adjustRightInd w:val="0"/>
              <w:spacing w:line="360" w:lineRule="auto"/>
              <w:jc w:val="center"/>
              <w:rPr>
                <w:rFonts w:ascii="宋体" w:hAnsi="宋体" w:cs="宋体"/>
                <w:lang w:val="zh-CN"/>
              </w:rPr>
            </w:pPr>
            <w:r>
              <w:rPr>
                <w:rFonts w:hint="eastAsia" w:ascii="宋体" w:hAnsi="宋体" w:cs="宋体"/>
                <w:lang w:val="zh-CN"/>
              </w:rPr>
              <w:t>2.2.2（</w:t>
            </w:r>
            <w:r>
              <w:rPr>
                <w:rFonts w:hint="eastAsia" w:ascii="宋体" w:hAnsi="宋体" w:cs="宋体"/>
              </w:rPr>
              <w:t>9</w:t>
            </w:r>
            <w:r>
              <w:rPr>
                <w:rFonts w:hint="eastAsia" w:ascii="宋体" w:hAnsi="宋体" w:cs="宋体"/>
                <w:lang w:val="zh-CN"/>
              </w:rPr>
              <w:t>）</w:t>
            </w:r>
          </w:p>
        </w:tc>
        <w:tc>
          <w:tcPr>
            <w:tcW w:w="816" w:type="dxa"/>
            <w:vMerge w:val="restart"/>
            <w:tcBorders>
              <w:top w:val="single" w:color="auto" w:sz="4" w:space="0"/>
              <w:left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szCs w:val="24"/>
                <w:lang w:val="zh-CN"/>
              </w:rPr>
            </w:pPr>
            <w:r>
              <w:rPr>
                <w:rFonts w:hint="eastAsia" w:ascii="宋体" w:hAnsi="宋体" w:cs="宋体"/>
                <w:bCs/>
                <w:szCs w:val="21"/>
                <w:lang w:val="zh-CN"/>
              </w:rPr>
              <w:t>其他因素评分标准</w:t>
            </w:r>
          </w:p>
        </w:tc>
        <w:tc>
          <w:tcPr>
            <w:tcW w:w="17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lang w:val="zh-CN"/>
              </w:rPr>
            </w:pPr>
            <w:r>
              <w:rPr>
                <w:rFonts w:hint="eastAsia" w:ascii="宋体" w:hAnsi="宋体" w:cs="宋体"/>
                <w:bCs/>
                <w:szCs w:val="21"/>
                <w:lang w:val="zh-CN"/>
              </w:rPr>
              <w:t>服务承诺</w:t>
            </w:r>
          </w:p>
        </w:tc>
        <w:tc>
          <w:tcPr>
            <w:tcW w:w="73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rPr>
            </w:pPr>
            <w:r>
              <w:rPr>
                <w:rFonts w:hint="eastAsia" w:ascii="宋体" w:hAnsi="宋体" w:cs="宋体"/>
              </w:rPr>
              <w:t>3</w:t>
            </w:r>
          </w:p>
        </w:tc>
        <w:tc>
          <w:tcPr>
            <w:tcW w:w="498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left"/>
              <w:rPr>
                <w:rFonts w:ascii="宋体" w:hAnsi="宋体" w:cs="宋体"/>
                <w:bCs/>
                <w:szCs w:val="21"/>
                <w:lang w:val="zh-CN"/>
              </w:rPr>
            </w:pPr>
            <w:r>
              <w:rPr>
                <w:rFonts w:hint="eastAsia" w:ascii="宋体" w:hAnsi="宋体" w:cs="宋体"/>
                <w:bCs/>
                <w:szCs w:val="21"/>
                <w:lang w:val="zh-CN"/>
              </w:rPr>
              <w:t>可接受的合理服务承诺综合比较，提供相关材料，承诺我公司可以无条件查阅使用审计底稿的得3分，有条件查阅使用的得2分，能查阅不能使用的得1分，未提供承诺的不得分</w:t>
            </w:r>
            <w:r>
              <w:rPr>
                <w:rFonts w:hint="eastAsia" w:ascii="宋体" w:hAnsi="宋体" w:cs="宋体"/>
                <w:bCs/>
                <w:szCs w:val="21"/>
              </w:rPr>
              <w:t>。</w:t>
            </w:r>
          </w:p>
        </w:tc>
      </w:tr>
      <w:tr>
        <w:tblPrEx>
          <w:tblCellMar>
            <w:top w:w="0" w:type="dxa"/>
            <w:left w:w="108" w:type="dxa"/>
            <w:bottom w:w="0" w:type="dxa"/>
            <w:right w:w="108" w:type="dxa"/>
          </w:tblCellMar>
        </w:tblPrEx>
        <w:trPr>
          <w:trHeight w:val="535" w:hRule="atLeast"/>
        </w:trPr>
        <w:tc>
          <w:tcPr>
            <w:tcW w:w="880" w:type="dxa"/>
            <w:vMerge w:val="continue"/>
            <w:tcBorders>
              <w:left w:val="single" w:color="auto" w:sz="4" w:space="0"/>
              <w:bottom w:val="single" w:color="auto" w:sz="4" w:space="0"/>
              <w:right w:val="single" w:color="auto" w:sz="4" w:space="0"/>
            </w:tcBorders>
            <w:noWrap/>
            <w:vAlign w:val="center"/>
          </w:tcPr>
          <w:p>
            <w:pPr>
              <w:tabs>
                <w:tab w:val="left" w:pos="458"/>
              </w:tabs>
              <w:autoSpaceDE w:val="0"/>
              <w:autoSpaceDN w:val="0"/>
              <w:adjustRightInd w:val="0"/>
              <w:spacing w:line="360" w:lineRule="auto"/>
              <w:jc w:val="center"/>
              <w:rPr>
                <w:rFonts w:ascii="宋体" w:hAnsi="宋体" w:cs="宋体"/>
                <w:lang w:val="zh-CN"/>
              </w:rPr>
            </w:pPr>
          </w:p>
        </w:tc>
        <w:tc>
          <w:tcPr>
            <w:tcW w:w="816" w:type="dxa"/>
            <w:vMerge w:val="continue"/>
            <w:tcBorders>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szCs w:val="24"/>
                <w:lang w:val="zh-CN"/>
              </w:rPr>
            </w:pPr>
          </w:p>
        </w:tc>
        <w:tc>
          <w:tcPr>
            <w:tcW w:w="17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lang w:val="zh-CN"/>
              </w:rPr>
            </w:pPr>
            <w:r>
              <w:rPr>
                <w:rFonts w:hint="eastAsia" w:ascii="宋体" w:hAnsi="宋体" w:cs="宋体"/>
                <w:lang w:val="zh-CN"/>
              </w:rPr>
              <w:t>优惠条件</w:t>
            </w:r>
          </w:p>
        </w:tc>
        <w:tc>
          <w:tcPr>
            <w:tcW w:w="73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rPr>
            </w:pPr>
            <w:r>
              <w:rPr>
                <w:rFonts w:hint="eastAsia" w:ascii="宋体" w:hAnsi="宋体" w:cs="宋体"/>
              </w:rPr>
              <w:t>3</w:t>
            </w:r>
          </w:p>
        </w:tc>
        <w:tc>
          <w:tcPr>
            <w:tcW w:w="498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left"/>
              <w:rPr>
                <w:rFonts w:ascii="宋体" w:hAnsi="宋体" w:cs="宋体"/>
                <w:bCs/>
                <w:szCs w:val="21"/>
                <w:lang w:val="zh-CN"/>
              </w:rPr>
            </w:pPr>
            <w:r>
              <w:rPr>
                <w:rFonts w:hint="eastAsia" w:ascii="宋体" w:hAnsi="宋体" w:cs="宋体"/>
                <w:bCs/>
                <w:szCs w:val="21"/>
                <w:lang w:val="zh-CN"/>
              </w:rPr>
              <w:t>可接受的合理优惠条件综合比较，提供相关材料，每项优惠条件得1分，未提供的不得分。</w:t>
            </w:r>
          </w:p>
        </w:tc>
      </w:tr>
    </w:tbl>
    <w:p>
      <w:pPr>
        <w:autoSpaceDE w:val="0"/>
        <w:autoSpaceDN w:val="0"/>
        <w:adjustRightInd w:val="0"/>
        <w:spacing w:line="360" w:lineRule="auto"/>
        <w:jc w:val="left"/>
        <w:rPr>
          <w:rFonts w:ascii="宋体" w:hAnsi="宋体" w:cs="宋体"/>
          <w:b/>
          <w:bCs/>
          <w:szCs w:val="21"/>
          <w:lang w:val="zh-CN"/>
        </w:rPr>
      </w:pPr>
      <w:r>
        <w:rPr>
          <w:rFonts w:ascii="宋体" w:hAnsi="宋体" w:cs="宋体"/>
          <w:b/>
          <w:bCs/>
          <w:szCs w:val="21"/>
          <w:lang w:val="zh-CN"/>
        </w:rPr>
        <w:t>1.</w:t>
      </w:r>
      <w:r>
        <w:rPr>
          <w:rFonts w:hint="eastAsia" w:ascii="宋体" w:hAnsi="宋体" w:cs="宋体"/>
          <w:b/>
          <w:bCs/>
          <w:szCs w:val="21"/>
          <w:lang w:val="zh-CN"/>
        </w:rPr>
        <w:t xml:space="preserve">评标方法 </w:t>
      </w:r>
    </w:p>
    <w:p>
      <w:pPr>
        <w:autoSpaceDE w:val="0"/>
        <w:autoSpaceDN w:val="0"/>
        <w:adjustRightInd w:val="0"/>
        <w:spacing w:line="360" w:lineRule="auto"/>
        <w:jc w:val="left"/>
        <w:rPr>
          <w:rFonts w:ascii="宋体" w:hAnsi="宋体" w:cs="宋体"/>
          <w:szCs w:val="21"/>
          <w:lang w:val="zh-CN"/>
        </w:rPr>
      </w:pPr>
      <w:r>
        <w:rPr>
          <w:rFonts w:hint="eastAsia" w:ascii="宋体" w:hAnsi="宋体" w:cs="宋体"/>
          <w:szCs w:val="21"/>
          <w:lang w:val="zh-CN"/>
        </w:rPr>
        <w:t>本次评标采用</w:t>
      </w:r>
      <w:r>
        <w:rPr>
          <w:rFonts w:hint="eastAsia" w:ascii="宋体" w:hAnsi="宋体" w:cs="宋体"/>
          <w:bCs/>
          <w:szCs w:val="21"/>
          <w:lang w:val="zh-CN"/>
        </w:rPr>
        <w:t>综合评估法</w:t>
      </w:r>
      <w:r>
        <w:rPr>
          <w:rFonts w:hint="eastAsia" w:ascii="宋体" w:hAnsi="宋体" w:cs="宋体"/>
          <w:szCs w:val="21"/>
          <w:lang w:val="zh-CN"/>
        </w:rPr>
        <w:t>。评标委员会对满足招标文件实质性要求的响应文件，按照本章第2.2款规定的评审标准，评标委员会按照得分由高到低的顺序推荐中标候选人。</w:t>
      </w:r>
    </w:p>
    <w:p>
      <w:pPr>
        <w:autoSpaceDE w:val="0"/>
        <w:autoSpaceDN w:val="0"/>
        <w:adjustRightInd w:val="0"/>
        <w:spacing w:line="360" w:lineRule="auto"/>
        <w:jc w:val="left"/>
        <w:rPr>
          <w:rFonts w:ascii="宋体" w:hAnsi="宋体" w:cs="宋体"/>
          <w:b/>
          <w:bCs/>
          <w:szCs w:val="21"/>
          <w:lang w:val="zh-CN"/>
        </w:rPr>
      </w:pPr>
      <w:r>
        <w:rPr>
          <w:rFonts w:ascii="宋体" w:hAnsi="宋体" w:cs="宋体"/>
          <w:b/>
          <w:bCs/>
          <w:szCs w:val="21"/>
          <w:lang w:val="zh-CN"/>
        </w:rPr>
        <w:t>2.</w:t>
      </w:r>
      <w:r>
        <w:rPr>
          <w:rFonts w:hint="eastAsia" w:ascii="宋体" w:hAnsi="宋体" w:cs="宋体"/>
          <w:b/>
          <w:bCs/>
          <w:szCs w:val="21"/>
          <w:lang w:val="zh-CN"/>
        </w:rPr>
        <w:t>评审标准</w:t>
      </w:r>
    </w:p>
    <w:p>
      <w:pPr>
        <w:autoSpaceDE w:val="0"/>
        <w:autoSpaceDN w:val="0"/>
        <w:adjustRightInd w:val="0"/>
        <w:spacing w:line="360" w:lineRule="auto"/>
        <w:jc w:val="left"/>
        <w:rPr>
          <w:rFonts w:ascii="宋体" w:hAnsi="宋体" w:cs="宋体"/>
          <w:bCs/>
          <w:szCs w:val="21"/>
          <w:lang w:val="zh-CN"/>
        </w:rPr>
      </w:pPr>
      <w:r>
        <w:rPr>
          <w:rFonts w:ascii="宋体" w:hAnsi="宋体" w:cs="宋体"/>
          <w:bCs/>
          <w:szCs w:val="21"/>
          <w:lang w:val="zh-CN"/>
        </w:rPr>
        <w:t>2.1</w:t>
      </w:r>
      <w:r>
        <w:rPr>
          <w:rFonts w:hint="eastAsia" w:ascii="宋体" w:hAnsi="宋体" w:cs="宋体"/>
          <w:bCs/>
          <w:szCs w:val="21"/>
          <w:lang w:val="zh-CN"/>
        </w:rPr>
        <w:t>初步评审标准</w:t>
      </w:r>
    </w:p>
    <w:p>
      <w:pPr>
        <w:autoSpaceDE w:val="0"/>
        <w:autoSpaceDN w:val="0"/>
        <w:adjustRightInd w:val="0"/>
        <w:spacing w:line="360" w:lineRule="auto"/>
        <w:jc w:val="left"/>
        <w:rPr>
          <w:rFonts w:ascii="宋体" w:hAnsi="宋体" w:cs="宋体"/>
          <w:szCs w:val="21"/>
          <w:lang w:val="zh-CN"/>
        </w:rPr>
      </w:pPr>
      <w:r>
        <w:rPr>
          <w:rFonts w:ascii="宋体" w:hAnsi="宋体" w:cs="宋体"/>
          <w:szCs w:val="21"/>
          <w:lang w:val="zh-CN"/>
        </w:rPr>
        <w:t xml:space="preserve">    2.1.1</w:t>
      </w:r>
      <w:r>
        <w:rPr>
          <w:rFonts w:hint="eastAsia" w:ascii="宋体" w:hAnsi="宋体" w:cs="宋体"/>
          <w:szCs w:val="21"/>
          <w:lang w:val="zh-CN"/>
        </w:rPr>
        <w:t xml:space="preserve"> 形式评审标准</w:t>
      </w:r>
      <w:r>
        <w:rPr>
          <w:rFonts w:ascii="宋体" w:hAnsi="宋体" w:cs="宋体"/>
          <w:szCs w:val="21"/>
          <w:lang w:val="zh-CN"/>
        </w:rPr>
        <w:t>:</w:t>
      </w:r>
      <w:r>
        <w:rPr>
          <w:rFonts w:hint="eastAsia" w:ascii="宋体" w:hAnsi="宋体" w:cs="宋体"/>
          <w:szCs w:val="21"/>
          <w:lang w:val="zh-CN"/>
        </w:rPr>
        <w:t>见评标办法附表一。</w:t>
      </w:r>
    </w:p>
    <w:p>
      <w:pPr>
        <w:autoSpaceDE w:val="0"/>
        <w:autoSpaceDN w:val="0"/>
        <w:adjustRightInd w:val="0"/>
        <w:spacing w:line="360" w:lineRule="auto"/>
        <w:ind w:firstLine="420"/>
        <w:jc w:val="left"/>
        <w:rPr>
          <w:rFonts w:ascii="宋体" w:hAnsi="宋体" w:cs="宋体"/>
          <w:szCs w:val="21"/>
          <w:lang w:val="zh-CN"/>
        </w:rPr>
      </w:pPr>
      <w:r>
        <w:rPr>
          <w:rFonts w:ascii="宋体" w:hAnsi="宋体" w:cs="宋体"/>
          <w:szCs w:val="21"/>
          <w:lang w:val="zh-CN"/>
        </w:rPr>
        <w:t>2.1</w:t>
      </w:r>
      <w:r>
        <w:rPr>
          <w:rFonts w:hint="eastAsia" w:ascii="宋体" w:hAnsi="宋体" w:cs="宋体"/>
          <w:szCs w:val="21"/>
          <w:lang w:val="zh-CN"/>
        </w:rPr>
        <w:t>.</w:t>
      </w:r>
      <w:r>
        <w:rPr>
          <w:rFonts w:ascii="宋体" w:hAnsi="宋体" w:cs="宋体"/>
          <w:szCs w:val="21"/>
          <w:lang w:val="zh-CN"/>
        </w:rPr>
        <w:t>2</w:t>
      </w:r>
      <w:r>
        <w:rPr>
          <w:rFonts w:hint="eastAsia" w:ascii="宋体" w:hAnsi="宋体" w:cs="宋体"/>
          <w:szCs w:val="21"/>
          <w:lang w:val="zh-CN"/>
        </w:rPr>
        <w:t xml:space="preserve"> 资格评审标准</w:t>
      </w:r>
      <w:r>
        <w:rPr>
          <w:rFonts w:ascii="宋体" w:hAnsi="宋体" w:cs="宋体"/>
          <w:szCs w:val="21"/>
          <w:lang w:val="zh-CN"/>
        </w:rPr>
        <w:t>:</w:t>
      </w:r>
      <w:r>
        <w:rPr>
          <w:rFonts w:hint="eastAsia" w:ascii="宋体" w:hAnsi="宋体" w:cs="宋体"/>
          <w:szCs w:val="21"/>
          <w:lang w:val="zh-CN"/>
        </w:rPr>
        <w:t>见评标办法附表一。</w:t>
      </w:r>
    </w:p>
    <w:p>
      <w:pPr>
        <w:autoSpaceDE w:val="0"/>
        <w:autoSpaceDN w:val="0"/>
        <w:adjustRightInd w:val="0"/>
        <w:spacing w:line="360" w:lineRule="auto"/>
        <w:ind w:firstLine="420"/>
        <w:jc w:val="left"/>
        <w:rPr>
          <w:rFonts w:ascii="宋体" w:hAnsi="宋体" w:cs="宋体"/>
          <w:szCs w:val="21"/>
          <w:lang w:val="zh-CN"/>
        </w:rPr>
      </w:pPr>
      <w:r>
        <w:rPr>
          <w:rFonts w:hint="eastAsia" w:ascii="宋体" w:hAnsi="宋体" w:cs="宋体"/>
          <w:szCs w:val="21"/>
          <w:lang w:val="zh-CN"/>
        </w:rPr>
        <w:t>2.1.3 响应性评审标准：见评标办法附表一。</w:t>
      </w:r>
    </w:p>
    <w:p>
      <w:pPr>
        <w:autoSpaceDE w:val="0"/>
        <w:autoSpaceDN w:val="0"/>
        <w:adjustRightInd w:val="0"/>
        <w:spacing w:line="360" w:lineRule="auto"/>
        <w:jc w:val="left"/>
        <w:rPr>
          <w:rFonts w:ascii="宋体" w:hAnsi="宋体" w:cs="宋体"/>
          <w:bCs/>
          <w:szCs w:val="21"/>
          <w:lang w:val="zh-CN"/>
        </w:rPr>
      </w:pPr>
      <w:r>
        <w:rPr>
          <w:rFonts w:ascii="宋体" w:hAnsi="宋体" w:cs="宋体"/>
          <w:bCs/>
          <w:szCs w:val="21"/>
          <w:lang w:val="zh-CN"/>
        </w:rPr>
        <w:t>2.2</w:t>
      </w:r>
      <w:r>
        <w:rPr>
          <w:rFonts w:hint="eastAsia" w:ascii="宋体" w:hAnsi="宋体" w:cs="宋体"/>
          <w:bCs/>
          <w:szCs w:val="21"/>
          <w:lang w:val="zh-CN"/>
        </w:rPr>
        <w:t xml:space="preserve"> 分值构成与评分标准</w:t>
      </w:r>
    </w:p>
    <w:p>
      <w:pPr>
        <w:autoSpaceDE w:val="0"/>
        <w:autoSpaceDN w:val="0"/>
        <w:adjustRightInd w:val="0"/>
        <w:spacing w:line="360" w:lineRule="auto"/>
        <w:ind w:firstLine="420"/>
        <w:jc w:val="left"/>
        <w:rPr>
          <w:rFonts w:ascii="宋体" w:hAnsi="宋体" w:cs="宋体"/>
          <w:szCs w:val="21"/>
          <w:lang w:val="zh-CN"/>
        </w:rPr>
      </w:pPr>
      <w:r>
        <w:rPr>
          <w:rFonts w:hint="eastAsia" w:ascii="宋体" w:hAnsi="宋体" w:cs="宋体"/>
          <w:szCs w:val="21"/>
          <w:lang w:val="zh-CN"/>
        </w:rPr>
        <w:t>2.2.1 分值构成</w:t>
      </w:r>
    </w:p>
    <w:p>
      <w:pPr>
        <w:pStyle w:val="9"/>
        <w:autoSpaceDE w:val="0"/>
        <w:autoSpaceDN w:val="0"/>
        <w:adjustRightInd w:val="0"/>
        <w:spacing w:line="360" w:lineRule="auto"/>
        <w:jc w:val="left"/>
      </w:pPr>
      <w:r>
        <w:rPr>
          <w:rFonts w:hint="eastAsia" w:ascii="宋体" w:hAnsi="宋体" w:cs="宋体"/>
          <w:szCs w:val="21"/>
          <w:lang w:val="zh-CN"/>
        </w:rPr>
        <w:t>（</w:t>
      </w:r>
      <w:r>
        <w:rPr>
          <w:rFonts w:hint="eastAsia" w:ascii="宋体" w:hAnsi="宋体" w:cs="宋体"/>
          <w:szCs w:val="21"/>
        </w:rPr>
        <w:t>1</w:t>
      </w:r>
      <w:r>
        <w:rPr>
          <w:rFonts w:hint="eastAsia" w:ascii="宋体" w:hAnsi="宋体" w:cs="宋体"/>
          <w:szCs w:val="21"/>
          <w:lang w:val="zh-CN"/>
        </w:rPr>
        <w:t>）</w:t>
      </w:r>
      <w:r>
        <w:rPr>
          <w:rFonts w:hint="eastAsia"/>
        </w:rPr>
        <w:t>投标报价评分：15分</w:t>
      </w:r>
    </w:p>
    <w:p>
      <w:pPr>
        <w:pStyle w:val="9"/>
        <w:autoSpaceDE w:val="0"/>
        <w:autoSpaceDN w:val="0"/>
        <w:adjustRightInd w:val="0"/>
        <w:spacing w:line="360" w:lineRule="auto"/>
        <w:jc w:val="left"/>
      </w:pPr>
      <w:r>
        <w:rPr>
          <w:rFonts w:hint="eastAsia" w:ascii="宋体" w:hAnsi="宋体" w:cs="宋体"/>
          <w:szCs w:val="21"/>
          <w:lang w:val="zh-CN"/>
        </w:rPr>
        <w:t>（</w:t>
      </w:r>
      <w:r>
        <w:rPr>
          <w:rFonts w:hint="eastAsia" w:ascii="宋体" w:hAnsi="宋体" w:cs="宋体"/>
          <w:szCs w:val="21"/>
        </w:rPr>
        <w:t>2</w:t>
      </w:r>
      <w:r>
        <w:rPr>
          <w:rFonts w:hint="eastAsia" w:ascii="宋体" w:hAnsi="宋体" w:cs="宋体"/>
          <w:szCs w:val="21"/>
          <w:lang w:val="zh-CN"/>
        </w:rPr>
        <w:t>）</w:t>
      </w:r>
      <w:r>
        <w:rPr>
          <w:rFonts w:hint="eastAsia"/>
        </w:rPr>
        <w:t>项目业绩评分：7分</w:t>
      </w:r>
    </w:p>
    <w:p>
      <w:pPr>
        <w:pStyle w:val="9"/>
        <w:autoSpaceDE w:val="0"/>
        <w:autoSpaceDN w:val="0"/>
        <w:adjustRightInd w:val="0"/>
        <w:spacing w:line="360" w:lineRule="auto"/>
        <w:jc w:val="left"/>
      </w:pPr>
      <w:r>
        <w:rPr>
          <w:rFonts w:hint="eastAsia" w:ascii="宋体" w:hAnsi="宋体" w:cs="宋体"/>
          <w:szCs w:val="21"/>
          <w:lang w:val="zh-CN"/>
        </w:rPr>
        <w:t>（</w:t>
      </w:r>
      <w:r>
        <w:rPr>
          <w:rFonts w:hint="eastAsia" w:ascii="宋体" w:hAnsi="宋体" w:cs="宋体"/>
          <w:szCs w:val="21"/>
        </w:rPr>
        <w:t>3</w:t>
      </w:r>
      <w:r>
        <w:rPr>
          <w:rFonts w:hint="eastAsia" w:ascii="宋体" w:hAnsi="宋体" w:cs="宋体"/>
          <w:szCs w:val="21"/>
          <w:lang w:val="zh-CN"/>
        </w:rPr>
        <w:t>）资质条件及</w:t>
      </w:r>
      <w:r>
        <w:rPr>
          <w:rFonts w:hint="eastAsia"/>
        </w:rPr>
        <w:t>人力资源配置评分：5分</w:t>
      </w:r>
    </w:p>
    <w:p>
      <w:pPr>
        <w:pStyle w:val="9"/>
        <w:autoSpaceDE w:val="0"/>
        <w:autoSpaceDN w:val="0"/>
        <w:adjustRightInd w:val="0"/>
        <w:spacing w:line="360" w:lineRule="auto"/>
        <w:jc w:val="left"/>
      </w:pPr>
      <w:r>
        <w:rPr>
          <w:rFonts w:hint="eastAsia" w:ascii="宋体" w:hAnsi="宋体" w:cs="宋体"/>
          <w:szCs w:val="21"/>
          <w:lang w:val="zh-CN"/>
        </w:rPr>
        <w:t>（</w:t>
      </w:r>
      <w:r>
        <w:rPr>
          <w:rFonts w:hint="eastAsia" w:ascii="宋体" w:hAnsi="宋体" w:cs="宋体"/>
          <w:szCs w:val="21"/>
        </w:rPr>
        <w:t>4</w:t>
      </w:r>
      <w:r>
        <w:rPr>
          <w:rFonts w:hint="eastAsia" w:ascii="宋体" w:hAnsi="宋体" w:cs="宋体"/>
          <w:szCs w:val="21"/>
          <w:lang w:val="zh-CN"/>
        </w:rPr>
        <w:t>）</w:t>
      </w:r>
      <w:r>
        <w:rPr>
          <w:rFonts w:hint="eastAsia" w:ascii="宋体" w:hAnsi="宋体" w:cs="宋体"/>
          <w:bCs/>
          <w:szCs w:val="21"/>
          <w:lang w:val="zh-CN"/>
        </w:rPr>
        <w:t>质量管理评分</w:t>
      </w:r>
      <w:r>
        <w:rPr>
          <w:rFonts w:hint="eastAsia"/>
        </w:rPr>
        <w:t>：40分</w:t>
      </w:r>
    </w:p>
    <w:p>
      <w:pPr>
        <w:pStyle w:val="9"/>
        <w:autoSpaceDE w:val="0"/>
        <w:autoSpaceDN w:val="0"/>
        <w:adjustRightInd w:val="0"/>
        <w:spacing w:line="360" w:lineRule="auto"/>
        <w:jc w:val="left"/>
      </w:pPr>
      <w:r>
        <w:rPr>
          <w:rFonts w:hint="eastAsia" w:ascii="宋体" w:hAnsi="宋体" w:cs="宋体"/>
          <w:szCs w:val="21"/>
          <w:lang w:val="zh-CN"/>
        </w:rPr>
        <w:t>（</w:t>
      </w:r>
      <w:r>
        <w:rPr>
          <w:rFonts w:hint="eastAsia" w:ascii="宋体" w:hAnsi="宋体" w:cs="宋体"/>
          <w:szCs w:val="21"/>
        </w:rPr>
        <w:t>5</w:t>
      </w:r>
      <w:r>
        <w:rPr>
          <w:rFonts w:hint="eastAsia" w:ascii="宋体" w:hAnsi="宋体" w:cs="宋体"/>
          <w:szCs w:val="21"/>
          <w:lang w:val="zh-CN"/>
        </w:rPr>
        <w:t>）</w:t>
      </w:r>
      <w:r>
        <w:rPr>
          <w:rFonts w:hint="eastAsia" w:ascii="宋体" w:hAnsi="宋体" w:cs="宋体"/>
          <w:bCs/>
          <w:szCs w:val="21"/>
          <w:lang w:val="zh-CN"/>
        </w:rPr>
        <w:t>工作方案评分</w:t>
      </w:r>
      <w:r>
        <w:rPr>
          <w:rFonts w:hint="eastAsia"/>
        </w:rPr>
        <w:t>：20分</w:t>
      </w:r>
    </w:p>
    <w:p>
      <w:pPr>
        <w:pStyle w:val="9"/>
        <w:autoSpaceDE w:val="0"/>
        <w:autoSpaceDN w:val="0"/>
        <w:adjustRightInd w:val="0"/>
        <w:spacing w:line="360" w:lineRule="auto"/>
        <w:jc w:val="left"/>
      </w:pPr>
      <w:r>
        <w:rPr>
          <w:rFonts w:hint="eastAsia" w:ascii="宋体" w:hAnsi="宋体" w:cs="宋体"/>
          <w:szCs w:val="21"/>
          <w:lang w:val="zh-CN"/>
        </w:rPr>
        <w:t>（</w:t>
      </w:r>
      <w:r>
        <w:rPr>
          <w:rFonts w:hint="eastAsia" w:ascii="宋体" w:hAnsi="宋体" w:cs="宋体"/>
          <w:szCs w:val="21"/>
        </w:rPr>
        <w:t>6</w:t>
      </w:r>
      <w:r>
        <w:rPr>
          <w:rFonts w:hint="eastAsia" w:ascii="宋体" w:hAnsi="宋体" w:cs="宋体"/>
          <w:szCs w:val="21"/>
          <w:lang w:val="zh-CN"/>
        </w:rPr>
        <w:t>）</w:t>
      </w:r>
      <w:r>
        <w:rPr>
          <w:rFonts w:hint="eastAsia"/>
        </w:rPr>
        <w:t>信息安全评分：3分</w:t>
      </w:r>
    </w:p>
    <w:p>
      <w:pPr>
        <w:pStyle w:val="9"/>
        <w:autoSpaceDE w:val="0"/>
        <w:autoSpaceDN w:val="0"/>
        <w:adjustRightInd w:val="0"/>
        <w:spacing w:line="360" w:lineRule="auto"/>
        <w:jc w:val="left"/>
      </w:pPr>
      <w:r>
        <w:rPr>
          <w:rFonts w:hint="eastAsia" w:ascii="宋体" w:hAnsi="宋体" w:cs="宋体"/>
          <w:szCs w:val="21"/>
          <w:lang w:val="zh-CN"/>
        </w:rPr>
        <w:t>（</w:t>
      </w:r>
      <w:r>
        <w:rPr>
          <w:rFonts w:hint="eastAsia" w:ascii="宋体" w:hAnsi="宋体" w:cs="宋体"/>
          <w:szCs w:val="21"/>
        </w:rPr>
        <w:t>7</w:t>
      </w:r>
      <w:r>
        <w:rPr>
          <w:rFonts w:hint="eastAsia" w:ascii="宋体" w:hAnsi="宋体" w:cs="宋体"/>
          <w:szCs w:val="21"/>
          <w:lang w:val="zh-CN"/>
        </w:rPr>
        <w:t>）</w:t>
      </w:r>
      <w:r>
        <w:rPr>
          <w:rFonts w:hint="eastAsia"/>
        </w:rPr>
        <w:t>财务状况评分：1分</w:t>
      </w:r>
    </w:p>
    <w:p>
      <w:pPr>
        <w:pStyle w:val="9"/>
        <w:autoSpaceDE w:val="0"/>
        <w:autoSpaceDN w:val="0"/>
        <w:adjustRightInd w:val="0"/>
        <w:spacing w:line="360" w:lineRule="auto"/>
        <w:jc w:val="left"/>
      </w:pPr>
      <w:r>
        <w:rPr>
          <w:rFonts w:hint="eastAsia" w:ascii="宋体" w:hAnsi="宋体" w:cs="宋体"/>
          <w:szCs w:val="21"/>
          <w:lang w:val="zh-CN"/>
        </w:rPr>
        <w:t>（</w:t>
      </w:r>
      <w:r>
        <w:rPr>
          <w:rFonts w:hint="eastAsia" w:ascii="宋体" w:hAnsi="宋体" w:cs="宋体"/>
          <w:szCs w:val="21"/>
        </w:rPr>
        <w:t>8</w:t>
      </w:r>
      <w:r>
        <w:rPr>
          <w:rFonts w:hint="eastAsia" w:ascii="宋体" w:hAnsi="宋体" w:cs="宋体"/>
          <w:szCs w:val="21"/>
          <w:lang w:val="zh-CN"/>
        </w:rPr>
        <w:t>）</w:t>
      </w:r>
      <w:r>
        <w:rPr>
          <w:rFonts w:hint="eastAsia"/>
        </w:rPr>
        <w:t>风险管理评分：3分</w:t>
      </w:r>
    </w:p>
    <w:p>
      <w:pPr>
        <w:autoSpaceDE w:val="0"/>
        <w:autoSpaceDN w:val="0"/>
        <w:adjustRightInd w:val="0"/>
        <w:spacing w:line="360" w:lineRule="auto"/>
        <w:ind w:firstLine="420"/>
        <w:jc w:val="left"/>
        <w:rPr>
          <w:rFonts w:ascii="宋体" w:hAnsi="宋体" w:cs="宋体"/>
          <w:szCs w:val="21"/>
          <w:lang w:val="zh-CN"/>
        </w:rPr>
      </w:pPr>
      <w:r>
        <w:rPr>
          <w:rFonts w:hint="eastAsia" w:ascii="宋体" w:hAnsi="宋体" w:cs="宋体"/>
          <w:szCs w:val="21"/>
          <w:lang w:val="zh-CN"/>
        </w:rPr>
        <w:t>（</w:t>
      </w:r>
      <w:r>
        <w:rPr>
          <w:rFonts w:hint="eastAsia" w:ascii="宋体" w:hAnsi="宋体" w:cs="宋体"/>
          <w:szCs w:val="21"/>
        </w:rPr>
        <w:t>9</w:t>
      </w:r>
      <w:r>
        <w:rPr>
          <w:rFonts w:hint="eastAsia" w:ascii="宋体" w:hAnsi="宋体" w:cs="宋体"/>
          <w:szCs w:val="21"/>
          <w:lang w:val="zh-CN"/>
        </w:rPr>
        <w:t>）</w:t>
      </w:r>
      <w:r>
        <w:rPr>
          <w:rFonts w:hint="eastAsia" w:ascii="宋体" w:hAnsi="宋体" w:cs="宋体"/>
          <w:bCs/>
          <w:szCs w:val="21"/>
          <w:lang w:val="zh-CN"/>
        </w:rPr>
        <w:t>其他因素评分：</w:t>
      </w:r>
      <w:r>
        <w:rPr>
          <w:rFonts w:hint="eastAsia" w:ascii="宋体" w:hAnsi="宋体" w:cs="宋体"/>
          <w:bCs/>
          <w:szCs w:val="21"/>
        </w:rPr>
        <w:t>6分</w:t>
      </w:r>
    </w:p>
    <w:p>
      <w:pPr>
        <w:autoSpaceDE w:val="0"/>
        <w:autoSpaceDN w:val="0"/>
        <w:adjustRightInd w:val="0"/>
        <w:spacing w:line="360" w:lineRule="auto"/>
        <w:ind w:firstLine="420"/>
        <w:jc w:val="left"/>
        <w:rPr>
          <w:rFonts w:ascii="宋体" w:hAnsi="宋体" w:cs="宋体"/>
          <w:szCs w:val="21"/>
          <w:lang w:val="zh-CN"/>
        </w:rPr>
      </w:pPr>
      <w:r>
        <w:rPr>
          <w:rFonts w:hint="eastAsia" w:ascii="宋体" w:hAnsi="宋体" w:cs="宋体"/>
          <w:szCs w:val="21"/>
          <w:lang w:val="zh-CN"/>
        </w:rPr>
        <w:t>2.2.2 评标基准价计算</w:t>
      </w:r>
    </w:p>
    <w:p>
      <w:pPr>
        <w:autoSpaceDE w:val="0"/>
        <w:autoSpaceDN w:val="0"/>
        <w:adjustRightInd w:val="0"/>
        <w:spacing w:line="360" w:lineRule="auto"/>
        <w:ind w:firstLine="420" w:firstLineChars="200"/>
        <w:jc w:val="left"/>
        <w:rPr>
          <w:rFonts w:ascii="宋体" w:hAnsi="宋体" w:cs="宋体"/>
          <w:szCs w:val="21"/>
          <w:lang w:val="zh-CN"/>
        </w:rPr>
      </w:pPr>
      <w:r>
        <w:rPr>
          <w:rFonts w:hint="eastAsia" w:ascii="宋体" w:hAnsi="宋体" w:cs="宋体"/>
          <w:szCs w:val="21"/>
          <w:lang w:val="zh-CN"/>
        </w:rPr>
        <w:t>评标基准价计算方法</w:t>
      </w:r>
      <w:r>
        <w:rPr>
          <w:rFonts w:ascii="宋体" w:hAnsi="宋体" w:cs="宋体"/>
          <w:szCs w:val="21"/>
          <w:lang w:val="zh-CN"/>
        </w:rPr>
        <w:t>:</w:t>
      </w:r>
      <w:r>
        <w:rPr>
          <w:rFonts w:hint="eastAsia" w:ascii="宋体" w:hAnsi="宋体" w:cs="宋体"/>
          <w:szCs w:val="21"/>
          <w:lang w:val="zh-CN"/>
        </w:rPr>
        <w:t>见评标办法附表二。</w:t>
      </w:r>
    </w:p>
    <w:p>
      <w:pPr>
        <w:autoSpaceDE w:val="0"/>
        <w:autoSpaceDN w:val="0"/>
        <w:adjustRightInd w:val="0"/>
        <w:spacing w:line="360" w:lineRule="auto"/>
        <w:jc w:val="left"/>
        <w:rPr>
          <w:rFonts w:ascii="宋体" w:hAnsi="宋体" w:cs="宋体"/>
          <w:szCs w:val="21"/>
          <w:lang w:val="zh-CN"/>
        </w:rPr>
      </w:pPr>
      <w:r>
        <w:rPr>
          <w:rFonts w:ascii="宋体" w:hAnsi="宋体" w:cs="宋体"/>
          <w:szCs w:val="21"/>
          <w:lang w:val="zh-CN"/>
        </w:rPr>
        <w:t xml:space="preserve">    2</w:t>
      </w:r>
      <w:r>
        <w:rPr>
          <w:rFonts w:hint="eastAsia" w:ascii="宋体" w:hAnsi="宋体" w:cs="宋体"/>
          <w:szCs w:val="21"/>
          <w:lang w:val="zh-CN"/>
        </w:rPr>
        <w:t>.2.</w:t>
      </w:r>
      <w:r>
        <w:rPr>
          <w:rFonts w:hint="eastAsia" w:ascii="宋体" w:hAnsi="宋体" w:cs="宋体"/>
          <w:szCs w:val="21"/>
        </w:rPr>
        <w:t>3</w:t>
      </w:r>
      <w:r>
        <w:rPr>
          <w:rFonts w:hint="eastAsia" w:ascii="宋体" w:hAnsi="宋体" w:cs="宋体"/>
          <w:szCs w:val="21"/>
          <w:lang w:val="zh-CN"/>
        </w:rPr>
        <w:t xml:space="preserve"> 评分标准</w:t>
      </w:r>
    </w:p>
    <w:p>
      <w:pPr>
        <w:autoSpaceDE w:val="0"/>
        <w:autoSpaceDN w:val="0"/>
        <w:adjustRightInd w:val="0"/>
        <w:spacing w:line="360" w:lineRule="auto"/>
        <w:ind w:firstLine="359" w:firstLineChars="171"/>
        <w:rPr>
          <w:rFonts w:ascii="宋体" w:hAnsi="宋体" w:cs="宋体"/>
          <w:bCs/>
          <w:lang w:val="zh-CN"/>
        </w:rPr>
      </w:pPr>
      <w:r>
        <w:rPr>
          <w:rFonts w:hint="eastAsia" w:ascii="宋体" w:hAnsi="宋体" w:cs="宋体"/>
          <w:szCs w:val="21"/>
          <w:lang w:val="zh-CN"/>
        </w:rPr>
        <w:t>（</w:t>
      </w:r>
      <w:r>
        <w:rPr>
          <w:rFonts w:hint="eastAsia" w:ascii="宋体" w:hAnsi="宋体" w:cs="宋体"/>
          <w:szCs w:val="21"/>
        </w:rPr>
        <w:t>1</w:t>
      </w:r>
      <w:r>
        <w:rPr>
          <w:rFonts w:hint="eastAsia" w:ascii="宋体" w:hAnsi="宋体" w:cs="宋体"/>
          <w:szCs w:val="21"/>
          <w:lang w:val="zh-CN"/>
        </w:rPr>
        <w:t>）</w:t>
      </w:r>
      <w:r>
        <w:rPr>
          <w:rFonts w:hint="eastAsia" w:ascii="宋体" w:hAnsi="宋体" w:cs="宋体"/>
          <w:lang w:val="zh-CN"/>
        </w:rPr>
        <w:t>投标价格</w:t>
      </w:r>
      <w:r>
        <w:rPr>
          <w:rFonts w:hint="eastAsia" w:ascii="宋体" w:hAnsi="宋体" w:cs="宋体"/>
          <w:bCs/>
          <w:lang w:val="zh-CN"/>
        </w:rPr>
        <w:t>因素</w:t>
      </w:r>
      <w:r>
        <w:rPr>
          <w:rFonts w:hint="eastAsia" w:ascii="宋体" w:hAnsi="宋体" w:cs="宋体"/>
          <w:bCs/>
        </w:rPr>
        <w:t>评审</w:t>
      </w:r>
      <w:r>
        <w:rPr>
          <w:rFonts w:hint="eastAsia" w:ascii="宋体" w:hAnsi="宋体" w:cs="宋体"/>
          <w:bCs/>
          <w:lang w:val="zh-CN"/>
        </w:rPr>
        <w:t xml:space="preserve">：见评标办法附表二。  </w:t>
      </w:r>
    </w:p>
    <w:p>
      <w:pPr>
        <w:autoSpaceDE w:val="0"/>
        <w:autoSpaceDN w:val="0"/>
        <w:adjustRightInd w:val="0"/>
        <w:spacing w:line="360" w:lineRule="auto"/>
        <w:ind w:firstLine="359" w:firstLineChars="171"/>
        <w:rPr>
          <w:rFonts w:ascii="宋体" w:hAnsi="宋体" w:cs="宋体"/>
          <w:bCs/>
          <w:lang w:val="zh-CN"/>
        </w:rPr>
      </w:pPr>
      <w:r>
        <w:rPr>
          <w:rFonts w:hint="eastAsia" w:ascii="宋体" w:hAnsi="宋体" w:cs="宋体"/>
          <w:szCs w:val="21"/>
          <w:lang w:val="zh-CN"/>
        </w:rPr>
        <w:t>（</w:t>
      </w:r>
      <w:r>
        <w:rPr>
          <w:rFonts w:hint="eastAsia" w:ascii="宋体" w:hAnsi="宋体" w:cs="宋体"/>
          <w:szCs w:val="21"/>
        </w:rPr>
        <w:t>2</w:t>
      </w:r>
      <w:r>
        <w:rPr>
          <w:rFonts w:hint="eastAsia" w:ascii="宋体" w:hAnsi="宋体" w:cs="宋体"/>
          <w:szCs w:val="21"/>
          <w:lang w:val="zh-CN"/>
        </w:rPr>
        <w:t>）</w:t>
      </w:r>
      <w:r>
        <w:rPr>
          <w:rFonts w:hint="eastAsia" w:ascii="宋体" w:hAnsi="宋体" w:cs="宋体"/>
          <w:lang w:val="zh-CN"/>
        </w:rPr>
        <w:t>项目业绩</w:t>
      </w:r>
      <w:r>
        <w:rPr>
          <w:rFonts w:hint="eastAsia" w:ascii="宋体" w:hAnsi="宋体" w:cs="宋体"/>
          <w:bCs/>
          <w:lang w:val="zh-CN"/>
        </w:rPr>
        <w:t>因素</w:t>
      </w:r>
      <w:r>
        <w:rPr>
          <w:rFonts w:hint="eastAsia" w:ascii="宋体" w:hAnsi="宋体" w:cs="宋体"/>
          <w:bCs/>
        </w:rPr>
        <w:t>评审</w:t>
      </w:r>
      <w:r>
        <w:rPr>
          <w:rFonts w:hint="eastAsia" w:ascii="宋体" w:hAnsi="宋体" w:cs="宋体"/>
          <w:bCs/>
          <w:lang w:val="zh-CN"/>
        </w:rPr>
        <w:t>: 见评标办法附表二。</w:t>
      </w:r>
    </w:p>
    <w:p>
      <w:pPr>
        <w:autoSpaceDE w:val="0"/>
        <w:autoSpaceDN w:val="0"/>
        <w:adjustRightInd w:val="0"/>
        <w:spacing w:line="360" w:lineRule="auto"/>
        <w:ind w:firstLine="359" w:firstLineChars="171"/>
        <w:rPr>
          <w:rFonts w:ascii="宋体" w:hAnsi="宋体" w:cs="宋体"/>
          <w:bCs/>
          <w:lang w:val="zh-CN"/>
        </w:rPr>
      </w:pPr>
      <w:r>
        <w:rPr>
          <w:rFonts w:hint="eastAsia" w:ascii="宋体" w:hAnsi="宋体" w:cs="宋体"/>
          <w:szCs w:val="21"/>
          <w:lang w:val="zh-CN"/>
        </w:rPr>
        <w:t>（</w:t>
      </w:r>
      <w:r>
        <w:rPr>
          <w:rFonts w:hint="eastAsia" w:ascii="宋体" w:hAnsi="宋体" w:cs="宋体"/>
          <w:szCs w:val="21"/>
        </w:rPr>
        <w:t>3</w:t>
      </w:r>
      <w:r>
        <w:rPr>
          <w:rFonts w:hint="eastAsia" w:ascii="宋体" w:hAnsi="宋体" w:cs="宋体"/>
          <w:szCs w:val="21"/>
          <w:lang w:val="zh-CN"/>
        </w:rPr>
        <w:t>）</w:t>
      </w:r>
      <w:r>
        <w:rPr>
          <w:rFonts w:hint="eastAsia" w:ascii="宋体" w:hAnsi="宋体" w:cs="宋体"/>
          <w:szCs w:val="24"/>
          <w:lang w:val="zh-CN"/>
        </w:rPr>
        <w:t>企业实力</w:t>
      </w:r>
      <w:r>
        <w:rPr>
          <w:rFonts w:hint="eastAsia" w:ascii="宋体" w:hAnsi="宋体" w:cs="宋体"/>
          <w:bCs/>
          <w:lang w:val="zh-CN"/>
        </w:rPr>
        <w:t>因素</w:t>
      </w:r>
      <w:r>
        <w:rPr>
          <w:rFonts w:hint="eastAsia" w:ascii="宋体" w:hAnsi="宋体" w:cs="宋体"/>
          <w:bCs/>
        </w:rPr>
        <w:t>评审</w:t>
      </w:r>
      <w:r>
        <w:rPr>
          <w:rFonts w:hint="eastAsia" w:ascii="宋体" w:hAnsi="宋体" w:cs="宋体"/>
          <w:bCs/>
          <w:lang w:val="zh-CN"/>
        </w:rPr>
        <w:t>: 见评标办法附表二。</w:t>
      </w:r>
    </w:p>
    <w:p>
      <w:pPr>
        <w:autoSpaceDE w:val="0"/>
        <w:autoSpaceDN w:val="0"/>
        <w:adjustRightInd w:val="0"/>
        <w:spacing w:line="360" w:lineRule="auto"/>
        <w:ind w:firstLine="359" w:firstLineChars="171"/>
        <w:rPr>
          <w:rFonts w:ascii="宋体" w:hAnsi="宋体" w:cs="宋体"/>
          <w:bCs/>
          <w:lang w:val="zh-CN"/>
        </w:rPr>
      </w:pPr>
      <w:r>
        <w:rPr>
          <w:rFonts w:hint="eastAsia" w:ascii="宋体" w:hAnsi="宋体" w:cs="宋体"/>
          <w:szCs w:val="21"/>
          <w:lang w:val="zh-CN"/>
        </w:rPr>
        <w:t>（</w:t>
      </w:r>
      <w:r>
        <w:rPr>
          <w:rFonts w:hint="eastAsia" w:ascii="宋体" w:hAnsi="宋体" w:cs="宋体"/>
          <w:szCs w:val="21"/>
        </w:rPr>
        <w:t>4</w:t>
      </w:r>
      <w:r>
        <w:rPr>
          <w:rFonts w:hint="eastAsia" w:ascii="宋体" w:hAnsi="宋体" w:cs="宋体"/>
          <w:szCs w:val="21"/>
          <w:lang w:val="zh-CN"/>
        </w:rPr>
        <w:t>）</w:t>
      </w:r>
      <w:r>
        <w:rPr>
          <w:rFonts w:hint="eastAsia" w:ascii="宋体" w:hAnsi="宋体" w:cs="宋体"/>
          <w:szCs w:val="24"/>
          <w:lang w:val="zh-CN"/>
        </w:rPr>
        <w:t>质量管理</w:t>
      </w:r>
      <w:r>
        <w:rPr>
          <w:rFonts w:hint="eastAsia" w:ascii="宋体" w:hAnsi="宋体" w:cs="宋体"/>
          <w:bCs/>
          <w:lang w:val="zh-CN"/>
        </w:rPr>
        <w:t>因素</w:t>
      </w:r>
      <w:r>
        <w:rPr>
          <w:rFonts w:hint="eastAsia" w:ascii="宋体" w:hAnsi="宋体" w:cs="宋体"/>
          <w:bCs/>
        </w:rPr>
        <w:t>评审</w:t>
      </w:r>
      <w:r>
        <w:rPr>
          <w:rFonts w:hint="eastAsia" w:ascii="宋体" w:hAnsi="宋体" w:cs="宋体"/>
          <w:bCs/>
          <w:lang w:val="zh-CN"/>
        </w:rPr>
        <w:t>: 见评标办法附表二。</w:t>
      </w:r>
    </w:p>
    <w:p>
      <w:pPr>
        <w:autoSpaceDE w:val="0"/>
        <w:autoSpaceDN w:val="0"/>
        <w:adjustRightInd w:val="0"/>
        <w:spacing w:line="360" w:lineRule="auto"/>
        <w:ind w:firstLine="359" w:firstLineChars="171"/>
        <w:rPr>
          <w:rFonts w:ascii="宋体" w:hAnsi="宋体" w:cs="宋体"/>
          <w:bCs/>
          <w:lang w:val="zh-CN"/>
        </w:rPr>
      </w:pPr>
      <w:r>
        <w:rPr>
          <w:rFonts w:hint="eastAsia" w:ascii="宋体" w:hAnsi="宋体" w:cs="宋体"/>
          <w:szCs w:val="21"/>
          <w:lang w:val="zh-CN"/>
        </w:rPr>
        <w:t>（</w:t>
      </w:r>
      <w:r>
        <w:rPr>
          <w:rFonts w:hint="eastAsia" w:ascii="宋体" w:hAnsi="宋体" w:cs="宋体"/>
          <w:szCs w:val="21"/>
        </w:rPr>
        <w:t>5</w:t>
      </w:r>
      <w:r>
        <w:rPr>
          <w:rFonts w:hint="eastAsia" w:ascii="宋体" w:hAnsi="宋体" w:cs="宋体"/>
          <w:szCs w:val="21"/>
          <w:lang w:val="zh-CN"/>
        </w:rPr>
        <w:t>）</w:t>
      </w:r>
      <w:r>
        <w:rPr>
          <w:rFonts w:hint="eastAsia" w:ascii="宋体" w:hAnsi="宋体" w:cs="宋体"/>
          <w:szCs w:val="24"/>
          <w:lang w:val="zh-CN"/>
        </w:rPr>
        <w:t>工作方案</w:t>
      </w:r>
      <w:r>
        <w:rPr>
          <w:rFonts w:hint="eastAsia" w:ascii="宋体" w:hAnsi="宋体" w:cs="宋体"/>
          <w:bCs/>
          <w:lang w:val="zh-CN"/>
        </w:rPr>
        <w:t>因素</w:t>
      </w:r>
      <w:r>
        <w:rPr>
          <w:rFonts w:hint="eastAsia" w:ascii="宋体" w:hAnsi="宋体" w:cs="宋体"/>
          <w:bCs/>
        </w:rPr>
        <w:t>评审</w:t>
      </w:r>
      <w:r>
        <w:rPr>
          <w:rFonts w:hint="eastAsia" w:ascii="宋体" w:hAnsi="宋体" w:cs="宋体"/>
          <w:bCs/>
          <w:lang w:val="zh-CN"/>
        </w:rPr>
        <w:t>: 见评标办法附表二。</w:t>
      </w:r>
    </w:p>
    <w:p>
      <w:pPr>
        <w:autoSpaceDE w:val="0"/>
        <w:autoSpaceDN w:val="0"/>
        <w:adjustRightInd w:val="0"/>
        <w:spacing w:line="360" w:lineRule="auto"/>
        <w:ind w:firstLine="359" w:firstLineChars="171"/>
        <w:rPr>
          <w:rFonts w:ascii="宋体" w:hAnsi="宋体" w:cs="宋体"/>
          <w:bCs/>
          <w:lang w:val="zh-CN"/>
        </w:rPr>
      </w:pPr>
      <w:r>
        <w:rPr>
          <w:rFonts w:hint="eastAsia" w:ascii="宋体" w:hAnsi="宋体" w:cs="宋体"/>
          <w:szCs w:val="21"/>
          <w:lang w:val="zh-CN"/>
        </w:rPr>
        <w:t>（</w:t>
      </w:r>
      <w:r>
        <w:rPr>
          <w:rFonts w:hint="eastAsia" w:ascii="宋体" w:hAnsi="宋体" w:cs="宋体"/>
          <w:szCs w:val="21"/>
        </w:rPr>
        <w:t>6</w:t>
      </w:r>
      <w:r>
        <w:rPr>
          <w:rFonts w:hint="eastAsia" w:ascii="宋体" w:hAnsi="宋体" w:cs="宋体"/>
          <w:szCs w:val="21"/>
          <w:lang w:val="zh-CN"/>
        </w:rPr>
        <w:t>）</w:t>
      </w:r>
      <w:r>
        <w:rPr>
          <w:rFonts w:hint="eastAsia" w:ascii="宋体" w:hAnsi="宋体" w:cs="宋体"/>
          <w:szCs w:val="24"/>
          <w:lang w:val="zh-CN"/>
        </w:rPr>
        <w:t>信息安全</w:t>
      </w:r>
      <w:r>
        <w:rPr>
          <w:rFonts w:hint="eastAsia" w:ascii="宋体" w:hAnsi="宋体" w:cs="宋体"/>
          <w:bCs/>
          <w:lang w:val="zh-CN"/>
        </w:rPr>
        <w:t>因素</w:t>
      </w:r>
      <w:r>
        <w:rPr>
          <w:rFonts w:hint="eastAsia" w:ascii="宋体" w:hAnsi="宋体" w:cs="宋体"/>
          <w:bCs/>
        </w:rPr>
        <w:t>评审</w:t>
      </w:r>
      <w:r>
        <w:rPr>
          <w:rFonts w:hint="eastAsia" w:ascii="宋体" w:hAnsi="宋体" w:cs="宋体"/>
          <w:bCs/>
          <w:lang w:val="zh-CN"/>
        </w:rPr>
        <w:t>: 见评标办法附表二。</w:t>
      </w:r>
    </w:p>
    <w:p>
      <w:pPr>
        <w:autoSpaceDE w:val="0"/>
        <w:autoSpaceDN w:val="0"/>
        <w:adjustRightInd w:val="0"/>
        <w:spacing w:line="360" w:lineRule="auto"/>
        <w:ind w:firstLine="359" w:firstLineChars="171"/>
        <w:rPr>
          <w:rFonts w:ascii="宋体" w:hAnsi="宋体" w:cs="宋体"/>
          <w:bCs/>
          <w:lang w:val="zh-CN"/>
        </w:rPr>
      </w:pPr>
      <w:r>
        <w:rPr>
          <w:rFonts w:hint="eastAsia" w:ascii="宋体" w:hAnsi="宋体" w:cs="宋体"/>
          <w:szCs w:val="21"/>
          <w:lang w:val="zh-CN"/>
        </w:rPr>
        <w:t>（</w:t>
      </w:r>
      <w:r>
        <w:rPr>
          <w:rFonts w:hint="eastAsia" w:ascii="宋体" w:hAnsi="宋体" w:cs="宋体"/>
          <w:szCs w:val="21"/>
        </w:rPr>
        <w:t>7</w:t>
      </w:r>
      <w:r>
        <w:rPr>
          <w:rFonts w:hint="eastAsia" w:ascii="宋体" w:hAnsi="宋体" w:cs="宋体"/>
          <w:szCs w:val="21"/>
          <w:lang w:val="zh-CN"/>
        </w:rPr>
        <w:t>）</w:t>
      </w:r>
      <w:r>
        <w:rPr>
          <w:rFonts w:hint="eastAsia" w:ascii="宋体" w:hAnsi="宋体" w:cs="宋体"/>
          <w:szCs w:val="24"/>
          <w:lang w:val="zh-CN"/>
        </w:rPr>
        <w:t>财务状况</w:t>
      </w:r>
      <w:r>
        <w:rPr>
          <w:rFonts w:hint="eastAsia" w:ascii="宋体" w:hAnsi="宋体" w:cs="宋体"/>
          <w:bCs/>
          <w:lang w:val="zh-CN"/>
        </w:rPr>
        <w:t>因素</w:t>
      </w:r>
      <w:r>
        <w:rPr>
          <w:rFonts w:hint="eastAsia" w:ascii="宋体" w:hAnsi="宋体" w:cs="宋体"/>
          <w:bCs/>
        </w:rPr>
        <w:t>评审</w:t>
      </w:r>
      <w:r>
        <w:rPr>
          <w:rFonts w:hint="eastAsia" w:ascii="宋体" w:hAnsi="宋体" w:cs="宋体"/>
          <w:bCs/>
          <w:lang w:val="zh-CN"/>
        </w:rPr>
        <w:t>: 见评标办法附表二。</w:t>
      </w:r>
    </w:p>
    <w:p>
      <w:pPr>
        <w:autoSpaceDE w:val="0"/>
        <w:autoSpaceDN w:val="0"/>
        <w:adjustRightInd w:val="0"/>
        <w:spacing w:line="360" w:lineRule="auto"/>
        <w:ind w:firstLine="359" w:firstLineChars="171"/>
        <w:rPr>
          <w:rFonts w:ascii="宋体" w:hAnsi="宋体" w:cs="宋体"/>
          <w:bCs/>
        </w:rPr>
      </w:pPr>
      <w:r>
        <w:rPr>
          <w:rFonts w:hint="eastAsia" w:ascii="宋体" w:hAnsi="宋体" w:cs="宋体"/>
          <w:szCs w:val="21"/>
          <w:lang w:val="zh-CN"/>
        </w:rPr>
        <w:t>（</w:t>
      </w:r>
      <w:r>
        <w:rPr>
          <w:rFonts w:hint="eastAsia" w:ascii="宋体" w:hAnsi="宋体" w:cs="宋体"/>
          <w:szCs w:val="21"/>
        </w:rPr>
        <w:t>8</w:t>
      </w:r>
      <w:r>
        <w:rPr>
          <w:rFonts w:hint="eastAsia" w:ascii="宋体" w:hAnsi="宋体" w:cs="宋体"/>
          <w:szCs w:val="21"/>
          <w:lang w:val="zh-CN"/>
        </w:rPr>
        <w:t>）</w:t>
      </w:r>
      <w:r>
        <w:rPr>
          <w:rFonts w:hint="eastAsia" w:ascii="宋体" w:hAnsi="宋体" w:cs="宋体"/>
          <w:szCs w:val="24"/>
          <w:lang w:val="zh-CN"/>
        </w:rPr>
        <w:t>风险管理</w:t>
      </w:r>
      <w:r>
        <w:rPr>
          <w:rFonts w:hint="eastAsia" w:ascii="宋体" w:hAnsi="宋体" w:cs="宋体"/>
          <w:bCs/>
          <w:lang w:val="zh-CN"/>
        </w:rPr>
        <w:t>因素</w:t>
      </w:r>
      <w:r>
        <w:rPr>
          <w:rFonts w:hint="eastAsia" w:ascii="宋体" w:hAnsi="宋体" w:cs="宋体"/>
          <w:bCs/>
        </w:rPr>
        <w:t>评审</w:t>
      </w:r>
      <w:r>
        <w:rPr>
          <w:rFonts w:hint="eastAsia" w:ascii="宋体" w:hAnsi="宋体" w:cs="宋体"/>
          <w:bCs/>
          <w:lang w:val="zh-CN"/>
        </w:rPr>
        <w:t>: 见评标办法附表二</w:t>
      </w:r>
      <w:r>
        <w:rPr>
          <w:rFonts w:hint="eastAsia" w:ascii="宋体" w:hAnsi="宋体" w:cs="宋体"/>
          <w:bCs/>
        </w:rPr>
        <w:t>。</w:t>
      </w:r>
    </w:p>
    <w:p>
      <w:pPr>
        <w:autoSpaceDE w:val="0"/>
        <w:autoSpaceDN w:val="0"/>
        <w:adjustRightInd w:val="0"/>
        <w:spacing w:line="360" w:lineRule="auto"/>
        <w:ind w:firstLine="359" w:firstLineChars="171"/>
        <w:rPr>
          <w:rFonts w:ascii="宋体" w:hAnsi="宋体" w:cs="宋体"/>
          <w:bCs/>
          <w:lang w:val="zh-CN"/>
        </w:rPr>
      </w:pPr>
      <w:r>
        <w:rPr>
          <w:rFonts w:hint="eastAsia" w:ascii="宋体" w:hAnsi="宋体" w:cs="宋体"/>
          <w:szCs w:val="21"/>
          <w:lang w:val="zh-CN"/>
        </w:rPr>
        <w:t>（</w:t>
      </w:r>
      <w:r>
        <w:rPr>
          <w:rFonts w:hint="eastAsia" w:ascii="宋体" w:hAnsi="宋体" w:cs="宋体"/>
          <w:szCs w:val="21"/>
        </w:rPr>
        <w:t>9</w:t>
      </w:r>
      <w:r>
        <w:rPr>
          <w:rFonts w:hint="eastAsia" w:ascii="宋体" w:hAnsi="宋体" w:cs="宋体"/>
          <w:szCs w:val="21"/>
          <w:lang w:val="zh-CN"/>
        </w:rPr>
        <w:t>）其他因素</w:t>
      </w:r>
      <w:r>
        <w:rPr>
          <w:rFonts w:hint="eastAsia" w:ascii="宋体" w:hAnsi="宋体" w:cs="宋体"/>
          <w:bCs/>
        </w:rPr>
        <w:t>评审</w:t>
      </w:r>
      <w:r>
        <w:rPr>
          <w:rFonts w:hint="eastAsia" w:ascii="宋体" w:hAnsi="宋体" w:cs="宋体"/>
          <w:bCs/>
          <w:lang w:val="zh-CN"/>
        </w:rPr>
        <w:t>: 见评标办法附表二。</w:t>
      </w:r>
    </w:p>
    <w:p>
      <w:pPr>
        <w:autoSpaceDE w:val="0"/>
        <w:autoSpaceDN w:val="0"/>
        <w:adjustRightInd w:val="0"/>
        <w:spacing w:line="360" w:lineRule="auto"/>
        <w:jc w:val="left"/>
        <w:rPr>
          <w:rFonts w:ascii="宋体" w:hAnsi="宋体" w:cs="宋体"/>
          <w:b/>
          <w:bCs/>
          <w:szCs w:val="21"/>
          <w:lang w:val="zh-CN"/>
        </w:rPr>
      </w:pPr>
      <w:r>
        <w:rPr>
          <w:rFonts w:ascii="宋体" w:hAnsi="宋体" w:cs="宋体"/>
          <w:b/>
          <w:bCs/>
          <w:szCs w:val="21"/>
          <w:lang w:val="zh-CN"/>
        </w:rPr>
        <w:t>3.</w:t>
      </w:r>
      <w:r>
        <w:rPr>
          <w:rFonts w:hint="eastAsia" w:ascii="宋体" w:hAnsi="宋体" w:cs="宋体"/>
          <w:b/>
          <w:bCs/>
          <w:szCs w:val="21"/>
          <w:lang w:val="zh-CN"/>
        </w:rPr>
        <w:t>评标程序</w:t>
      </w:r>
    </w:p>
    <w:p>
      <w:pPr>
        <w:autoSpaceDE w:val="0"/>
        <w:autoSpaceDN w:val="0"/>
        <w:adjustRightInd w:val="0"/>
        <w:spacing w:line="360" w:lineRule="auto"/>
        <w:jc w:val="left"/>
        <w:rPr>
          <w:rFonts w:ascii="宋体" w:hAnsi="宋体" w:cs="宋体"/>
          <w:bCs/>
          <w:szCs w:val="21"/>
          <w:lang w:val="zh-CN"/>
        </w:rPr>
      </w:pPr>
      <w:r>
        <w:rPr>
          <w:rFonts w:ascii="宋体" w:hAnsi="宋体" w:cs="宋体"/>
          <w:bCs/>
          <w:szCs w:val="21"/>
          <w:lang w:val="zh-CN"/>
        </w:rPr>
        <w:t>3.1</w:t>
      </w:r>
      <w:r>
        <w:rPr>
          <w:rFonts w:hint="eastAsia" w:ascii="宋体" w:hAnsi="宋体" w:cs="宋体"/>
          <w:bCs/>
          <w:szCs w:val="21"/>
          <w:lang w:val="zh-CN"/>
        </w:rPr>
        <w:t>初步评审</w:t>
      </w:r>
    </w:p>
    <w:p>
      <w:pPr>
        <w:autoSpaceDE w:val="0"/>
        <w:autoSpaceDN w:val="0"/>
        <w:adjustRightInd w:val="0"/>
        <w:spacing w:line="360" w:lineRule="auto"/>
        <w:jc w:val="left"/>
        <w:rPr>
          <w:rFonts w:ascii="宋体" w:hAnsi="宋体" w:cs="宋体"/>
          <w:szCs w:val="21"/>
          <w:lang w:val="zh-CN"/>
        </w:rPr>
      </w:pPr>
      <w:r>
        <w:rPr>
          <w:rFonts w:ascii="宋体" w:hAnsi="宋体" w:cs="宋体"/>
          <w:szCs w:val="21"/>
          <w:lang w:val="zh-CN"/>
        </w:rPr>
        <w:t xml:space="preserve">    3.1.1</w:t>
      </w:r>
      <w:r>
        <w:rPr>
          <w:rFonts w:hint="eastAsia" w:ascii="宋体" w:hAnsi="宋体" w:cs="宋体"/>
          <w:szCs w:val="21"/>
          <w:lang w:val="zh-CN"/>
        </w:rPr>
        <w:t>评标委员会依据本章评标办法附表一规定的标准对响应文件进行初步评审。有一项不符合评审标准的，作无效投标处理。</w:t>
      </w:r>
    </w:p>
    <w:p>
      <w:pPr>
        <w:autoSpaceDE w:val="0"/>
        <w:autoSpaceDN w:val="0"/>
        <w:adjustRightInd w:val="0"/>
        <w:spacing w:line="360" w:lineRule="auto"/>
        <w:jc w:val="left"/>
        <w:rPr>
          <w:rFonts w:ascii="宋体" w:hAnsi="宋体" w:cs="宋体"/>
          <w:szCs w:val="21"/>
          <w:lang w:val="zh-CN"/>
        </w:rPr>
      </w:pPr>
      <w:r>
        <w:rPr>
          <w:rFonts w:ascii="宋体" w:hAnsi="宋体" w:cs="宋体"/>
          <w:szCs w:val="21"/>
          <w:lang w:val="zh-CN"/>
        </w:rPr>
        <w:t xml:space="preserve">    3.1.</w:t>
      </w:r>
      <w:r>
        <w:rPr>
          <w:rFonts w:hint="eastAsia" w:ascii="宋体" w:hAnsi="宋体" w:cs="宋体"/>
          <w:szCs w:val="21"/>
        </w:rPr>
        <w:t>2</w:t>
      </w:r>
      <w:r>
        <w:rPr>
          <w:rFonts w:hint="eastAsia" w:ascii="宋体" w:hAnsi="宋体" w:cs="宋体"/>
          <w:szCs w:val="21"/>
          <w:lang w:val="zh-CN"/>
        </w:rPr>
        <w:t xml:space="preserve"> 投标报价有算术错误的，评标委员会按以下原则对投标报价进行修正，修正的价格经投标人书面确认后具有约束力。投标方不接受修正价格的，其投标作无效投标处理。</w:t>
      </w:r>
    </w:p>
    <w:p>
      <w:pPr>
        <w:adjustRightInd w:val="0"/>
        <w:spacing w:line="360" w:lineRule="auto"/>
        <w:ind w:firstLine="420" w:firstLineChars="200"/>
        <w:jc w:val="left"/>
        <w:rPr>
          <w:rFonts w:ascii="宋体" w:hAnsi="宋体" w:cs="宋体"/>
          <w:szCs w:val="21"/>
          <w:lang w:val="zh-CN"/>
        </w:rPr>
      </w:pPr>
      <w:r>
        <w:rPr>
          <w:rFonts w:hint="eastAsia" w:ascii="宋体" w:hAnsi="宋体" w:cs="宋体"/>
          <w:szCs w:val="21"/>
          <w:lang w:val="zh-CN"/>
        </w:rPr>
        <w:t>（</w:t>
      </w:r>
      <w:r>
        <w:rPr>
          <w:rFonts w:hint="eastAsia" w:ascii="宋体" w:hAnsi="宋体" w:cs="宋体"/>
          <w:szCs w:val="21"/>
        </w:rPr>
        <w:t>1</w:t>
      </w:r>
      <w:r>
        <w:rPr>
          <w:rFonts w:hint="eastAsia" w:ascii="宋体" w:hAnsi="宋体" w:cs="宋体"/>
          <w:szCs w:val="21"/>
          <w:lang w:val="zh-CN"/>
        </w:rPr>
        <w:t>）响应文件中的大写金额与小写金额不一致的，以大写金额为准；</w:t>
      </w:r>
    </w:p>
    <w:p>
      <w:pPr>
        <w:adjustRightInd w:val="0"/>
        <w:spacing w:line="360" w:lineRule="auto"/>
        <w:ind w:firstLine="420" w:firstLineChars="200"/>
        <w:jc w:val="left"/>
        <w:rPr>
          <w:rFonts w:ascii="宋体" w:hAnsi="宋体" w:cs="宋体"/>
          <w:szCs w:val="21"/>
          <w:lang w:val="zh-CN"/>
        </w:rPr>
      </w:pPr>
      <w:r>
        <w:rPr>
          <w:rFonts w:hint="eastAsia" w:ascii="宋体" w:hAnsi="宋体" w:cs="宋体"/>
          <w:szCs w:val="21"/>
          <w:lang w:val="zh-CN"/>
        </w:rPr>
        <w:t>（</w:t>
      </w:r>
      <w:r>
        <w:rPr>
          <w:rFonts w:hint="eastAsia" w:ascii="宋体" w:hAnsi="宋体" w:cs="宋体"/>
          <w:szCs w:val="21"/>
        </w:rPr>
        <w:t>2</w:t>
      </w:r>
      <w:r>
        <w:rPr>
          <w:rFonts w:hint="eastAsia" w:ascii="宋体" w:hAnsi="宋体" w:cs="宋体"/>
          <w:szCs w:val="21"/>
          <w:lang w:val="zh-CN"/>
        </w:rPr>
        <w:t>）总价金额与依据单价计算出的结果不一致的，以单价金额为准修正总价，但单价金额小数点有明显错误的除外。</w:t>
      </w:r>
    </w:p>
    <w:p>
      <w:pPr>
        <w:autoSpaceDE w:val="0"/>
        <w:autoSpaceDN w:val="0"/>
        <w:adjustRightInd w:val="0"/>
        <w:spacing w:line="360" w:lineRule="auto"/>
        <w:jc w:val="left"/>
        <w:rPr>
          <w:rFonts w:ascii="宋体" w:hAnsi="宋体" w:cs="宋体"/>
          <w:bCs/>
          <w:szCs w:val="21"/>
          <w:lang w:val="zh-CN"/>
        </w:rPr>
      </w:pPr>
      <w:r>
        <w:rPr>
          <w:rFonts w:ascii="宋体" w:hAnsi="宋体" w:cs="宋体"/>
          <w:bCs/>
          <w:szCs w:val="21"/>
          <w:lang w:val="zh-CN"/>
        </w:rPr>
        <w:t>3.2</w:t>
      </w:r>
      <w:r>
        <w:rPr>
          <w:rFonts w:hint="eastAsia" w:ascii="宋体" w:hAnsi="宋体" w:cs="宋体"/>
          <w:bCs/>
          <w:szCs w:val="21"/>
          <w:lang w:val="zh-CN"/>
        </w:rPr>
        <w:t xml:space="preserve"> 详细评审</w:t>
      </w:r>
    </w:p>
    <w:p>
      <w:pPr>
        <w:spacing w:line="480" w:lineRule="exact"/>
        <w:rPr>
          <w:rFonts w:ascii="宋体" w:hAnsi="宋体" w:cs="宋体"/>
          <w:szCs w:val="21"/>
          <w:lang w:val="zh-CN"/>
        </w:rPr>
      </w:pPr>
      <w:r>
        <w:rPr>
          <w:rFonts w:hint="eastAsia" w:ascii="宋体" w:hAnsi="宋体" w:cs="宋体"/>
          <w:szCs w:val="21"/>
          <w:lang w:val="zh-CN"/>
        </w:rPr>
        <w:t>3.2.1 评标委员会按本章第2.2款规定的量化因素和分值进行打分，并计算出综合评估得分。</w:t>
      </w:r>
    </w:p>
    <w:p>
      <w:pPr>
        <w:spacing w:line="480" w:lineRule="exact"/>
        <w:ind w:firstLine="420" w:firstLineChars="200"/>
        <w:rPr>
          <w:rFonts w:ascii="宋体" w:hAnsi="宋体" w:cs="宋体"/>
          <w:szCs w:val="21"/>
          <w:lang w:val="zh-CN"/>
        </w:rPr>
      </w:pPr>
      <w:r>
        <w:rPr>
          <w:rFonts w:hint="eastAsia" w:ascii="宋体" w:hAnsi="宋体" w:cs="宋体"/>
          <w:szCs w:val="21"/>
          <w:lang w:val="zh-CN"/>
        </w:rPr>
        <w:t>（1）按本章第2.2.</w:t>
      </w:r>
      <w:r>
        <w:rPr>
          <w:rFonts w:hint="eastAsia" w:ascii="宋体" w:hAnsi="宋体" w:cs="宋体"/>
          <w:szCs w:val="21"/>
        </w:rPr>
        <w:t>2</w:t>
      </w:r>
      <w:r>
        <w:rPr>
          <w:rFonts w:hint="eastAsia" w:ascii="宋体" w:hAnsi="宋体" w:cs="宋体"/>
          <w:szCs w:val="21"/>
          <w:lang w:val="zh-CN"/>
        </w:rPr>
        <w:t>（1）目规定的评审因素和分值计算出得分A；</w:t>
      </w:r>
    </w:p>
    <w:p>
      <w:pPr>
        <w:spacing w:line="480" w:lineRule="exact"/>
        <w:ind w:firstLine="420" w:firstLineChars="200"/>
        <w:rPr>
          <w:rFonts w:ascii="宋体" w:hAnsi="宋体" w:cs="宋体"/>
          <w:szCs w:val="21"/>
          <w:lang w:val="zh-CN"/>
        </w:rPr>
      </w:pPr>
      <w:r>
        <w:rPr>
          <w:rFonts w:hint="eastAsia" w:ascii="宋体" w:hAnsi="宋体" w:cs="宋体"/>
          <w:szCs w:val="21"/>
          <w:lang w:val="zh-CN"/>
        </w:rPr>
        <w:t>（2）按本章第2.2.</w:t>
      </w:r>
      <w:r>
        <w:rPr>
          <w:rFonts w:hint="eastAsia" w:ascii="宋体" w:hAnsi="宋体" w:cs="宋体"/>
          <w:szCs w:val="21"/>
        </w:rPr>
        <w:t>2</w:t>
      </w:r>
      <w:r>
        <w:rPr>
          <w:rFonts w:hint="eastAsia" w:ascii="宋体" w:hAnsi="宋体" w:cs="宋体"/>
          <w:szCs w:val="21"/>
          <w:lang w:val="zh-CN"/>
        </w:rPr>
        <w:t>（2）目规定的评审因素和分值计算出得分B；</w:t>
      </w:r>
    </w:p>
    <w:p>
      <w:pPr>
        <w:spacing w:line="480" w:lineRule="exact"/>
        <w:ind w:firstLine="420" w:firstLineChars="200"/>
        <w:rPr>
          <w:rFonts w:ascii="宋体" w:hAnsi="宋体" w:cs="宋体"/>
          <w:szCs w:val="21"/>
          <w:lang w:val="zh-CN"/>
        </w:rPr>
      </w:pPr>
      <w:r>
        <w:rPr>
          <w:rFonts w:hint="eastAsia" w:ascii="宋体" w:hAnsi="宋体" w:cs="宋体"/>
          <w:szCs w:val="21"/>
          <w:lang w:val="zh-CN"/>
        </w:rPr>
        <w:t>（3）按本章第2.2.</w:t>
      </w:r>
      <w:r>
        <w:rPr>
          <w:rFonts w:hint="eastAsia" w:ascii="宋体" w:hAnsi="宋体" w:cs="宋体"/>
          <w:szCs w:val="21"/>
        </w:rPr>
        <w:t>2</w:t>
      </w:r>
      <w:r>
        <w:rPr>
          <w:rFonts w:hint="eastAsia" w:ascii="宋体" w:hAnsi="宋体" w:cs="宋体"/>
          <w:szCs w:val="21"/>
          <w:lang w:val="zh-CN"/>
        </w:rPr>
        <w:t>（3）目规定的评审因素和分值计算出得分C；</w:t>
      </w:r>
    </w:p>
    <w:p>
      <w:pPr>
        <w:spacing w:line="480" w:lineRule="exact"/>
        <w:ind w:firstLine="420" w:firstLineChars="200"/>
        <w:rPr>
          <w:rFonts w:ascii="宋体" w:hAnsi="宋体" w:cs="宋体"/>
          <w:szCs w:val="21"/>
          <w:lang w:val="zh-CN"/>
        </w:rPr>
      </w:pPr>
      <w:r>
        <w:rPr>
          <w:rFonts w:hint="eastAsia" w:ascii="宋体" w:hAnsi="宋体" w:cs="宋体"/>
          <w:szCs w:val="21"/>
          <w:lang w:val="zh-CN"/>
        </w:rPr>
        <w:t>（</w:t>
      </w:r>
      <w:r>
        <w:rPr>
          <w:rFonts w:hint="eastAsia" w:ascii="宋体" w:hAnsi="宋体" w:cs="宋体"/>
          <w:szCs w:val="21"/>
        </w:rPr>
        <w:t>4</w:t>
      </w:r>
      <w:r>
        <w:rPr>
          <w:rFonts w:hint="eastAsia" w:ascii="宋体" w:hAnsi="宋体" w:cs="宋体"/>
          <w:szCs w:val="21"/>
          <w:lang w:val="zh-CN"/>
        </w:rPr>
        <w:t>）按本章第2.2.</w:t>
      </w:r>
      <w:r>
        <w:rPr>
          <w:rFonts w:hint="eastAsia" w:ascii="宋体" w:hAnsi="宋体" w:cs="宋体"/>
          <w:szCs w:val="21"/>
        </w:rPr>
        <w:t>2</w:t>
      </w:r>
      <w:r>
        <w:rPr>
          <w:rFonts w:hint="eastAsia" w:ascii="宋体" w:hAnsi="宋体" w:cs="宋体"/>
          <w:szCs w:val="21"/>
          <w:lang w:val="zh-CN"/>
        </w:rPr>
        <w:t>（</w:t>
      </w:r>
      <w:r>
        <w:rPr>
          <w:rFonts w:hint="eastAsia" w:ascii="宋体" w:hAnsi="宋体" w:cs="宋体"/>
          <w:szCs w:val="21"/>
        </w:rPr>
        <w:t>4</w:t>
      </w:r>
      <w:r>
        <w:rPr>
          <w:rFonts w:hint="eastAsia" w:ascii="宋体" w:hAnsi="宋体" w:cs="宋体"/>
          <w:szCs w:val="21"/>
          <w:lang w:val="zh-CN"/>
        </w:rPr>
        <w:t>）目规定的评审因素和分值计算出得分</w:t>
      </w:r>
      <w:r>
        <w:rPr>
          <w:rFonts w:hint="eastAsia" w:ascii="宋体" w:hAnsi="宋体" w:cs="宋体"/>
          <w:szCs w:val="21"/>
        </w:rPr>
        <w:t>D</w:t>
      </w:r>
      <w:r>
        <w:rPr>
          <w:rFonts w:hint="eastAsia" w:ascii="宋体" w:hAnsi="宋体" w:cs="宋体"/>
          <w:szCs w:val="21"/>
          <w:lang w:val="zh-CN"/>
        </w:rPr>
        <w:t>；</w:t>
      </w:r>
    </w:p>
    <w:p>
      <w:pPr>
        <w:spacing w:line="480" w:lineRule="exact"/>
        <w:ind w:firstLine="420" w:firstLineChars="200"/>
        <w:rPr>
          <w:rFonts w:ascii="宋体" w:hAnsi="宋体" w:cs="宋体"/>
          <w:szCs w:val="21"/>
        </w:rPr>
      </w:pPr>
      <w:r>
        <w:rPr>
          <w:rFonts w:hint="eastAsia" w:ascii="宋体" w:hAnsi="宋体" w:cs="宋体"/>
          <w:szCs w:val="21"/>
          <w:lang w:val="zh-CN"/>
        </w:rPr>
        <w:t>（</w:t>
      </w:r>
      <w:r>
        <w:rPr>
          <w:rFonts w:hint="eastAsia" w:ascii="宋体" w:hAnsi="宋体" w:cs="宋体"/>
          <w:szCs w:val="21"/>
        </w:rPr>
        <w:t>5</w:t>
      </w:r>
      <w:r>
        <w:rPr>
          <w:rFonts w:hint="eastAsia" w:ascii="宋体" w:hAnsi="宋体" w:cs="宋体"/>
          <w:szCs w:val="21"/>
          <w:lang w:val="zh-CN"/>
        </w:rPr>
        <w:t>）按本章第2.2.</w:t>
      </w:r>
      <w:r>
        <w:rPr>
          <w:rFonts w:hint="eastAsia" w:ascii="宋体" w:hAnsi="宋体" w:cs="宋体"/>
          <w:szCs w:val="21"/>
        </w:rPr>
        <w:t>2</w:t>
      </w:r>
      <w:r>
        <w:rPr>
          <w:rFonts w:hint="eastAsia" w:ascii="宋体" w:hAnsi="宋体" w:cs="宋体"/>
          <w:szCs w:val="21"/>
          <w:lang w:val="zh-CN"/>
        </w:rPr>
        <w:t>（</w:t>
      </w:r>
      <w:r>
        <w:rPr>
          <w:rFonts w:hint="eastAsia" w:ascii="宋体" w:hAnsi="宋体" w:cs="宋体"/>
          <w:szCs w:val="21"/>
        </w:rPr>
        <w:t>5</w:t>
      </w:r>
      <w:r>
        <w:rPr>
          <w:rFonts w:hint="eastAsia" w:ascii="宋体" w:hAnsi="宋体" w:cs="宋体"/>
          <w:szCs w:val="21"/>
          <w:lang w:val="zh-CN"/>
        </w:rPr>
        <w:t>）目规定的评审因素和分值计算出得分</w:t>
      </w:r>
      <w:r>
        <w:rPr>
          <w:rFonts w:hint="eastAsia" w:ascii="宋体" w:hAnsi="宋体" w:cs="宋体"/>
          <w:szCs w:val="21"/>
        </w:rPr>
        <w:t>E</w:t>
      </w:r>
      <w:r>
        <w:rPr>
          <w:rFonts w:hint="eastAsia" w:ascii="宋体" w:hAnsi="宋体" w:cs="宋体"/>
          <w:szCs w:val="21"/>
          <w:lang w:val="zh-CN"/>
        </w:rPr>
        <w:t>；</w:t>
      </w:r>
    </w:p>
    <w:p>
      <w:pPr>
        <w:spacing w:line="480" w:lineRule="exact"/>
        <w:ind w:firstLine="420" w:firstLineChars="200"/>
        <w:rPr>
          <w:rFonts w:ascii="宋体" w:hAnsi="宋体" w:cs="宋体"/>
          <w:szCs w:val="21"/>
          <w:lang w:val="zh-CN"/>
        </w:rPr>
      </w:pPr>
      <w:r>
        <w:rPr>
          <w:rFonts w:hint="eastAsia" w:ascii="宋体" w:hAnsi="宋体" w:cs="宋体"/>
          <w:szCs w:val="21"/>
          <w:lang w:val="zh-CN"/>
        </w:rPr>
        <w:t>（</w:t>
      </w:r>
      <w:r>
        <w:rPr>
          <w:rFonts w:hint="eastAsia" w:ascii="宋体" w:hAnsi="宋体" w:cs="宋体"/>
          <w:szCs w:val="21"/>
        </w:rPr>
        <w:t>6</w:t>
      </w:r>
      <w:r>
        <w:rPr>
          <w:rFonts w:hint="eastAsia" w:ascii="宋体" w:hAnsi="宋体" w:cs="宋体"/>
          <w:szCs w:val="21"/>
          <w:lang w:val="zh-CN"/>
        </w:rPr>
        <w:t>）按本章第2.2.</w:t>
      </w:r>
      <w:r>
        <w:rPr>
          <w:rFonts w:hint="eastAsia" w:ascii="宋体" w:hAnsi="宋体" w:cs="宋体"/>
          <w:szCs w:val="21"/>
        </w:rPr>
        <w:t>2</w:t>
      </w:r>
      <w:r>
        <w:rPr>
          <w:rFonts w:hint="eastAsia" w:ascii="宋体" w:hAnsi="宋体" w:cs="宋体"/>
          <w:szCs w:val="21"/>
          <w:lang w:val="zh-CN"/>
        </w:rPr>
        <w:t>（</w:t>
      </w:r>
      <w:r>
        <w:rPr>
          <w:rFonts w:hint="eastAsia" w:ascii="宋体" w:hAnsi="宋体" w:cs="宋体"/>
          <w:szCs w:val="21"/>
        </w:rPr>
        <w:t>6</w:t>
      </w:r>
      <w:r>
        <w:rPr>
          <w:rFonts w:hint="eastAsia" w:ascii="宋体" w:hAnsi="宋体" w:cs="宋体"/>
          <w:szCs w:val="21"/>
          <w:lang w:val="zh-CN"/>
        </w:rPr>
        <w:t>）目规定的评审因素和分值计算出得分</w:t>
      </w:r>
      <w:r>
        <w:rPr>
          <w:rFonts w:hint="eastAsia" w:ascii="宋体" w:hAnsi="宋体" w:cs="宋体"/>
          <w:szCs w:val="21"/>
        </w:rPr>
        <w:t>F</w:t>
      </w:r>
      <w:r>
        <w:rPr>
          <w:rFonts w:hint="eastAsia" w:ascii="宋体" w:hAnsi="宋体" w:cs="宋体"/>
          <w:szCs w:val="21"/>
          <w:lang w:val="zh-CN"/>
        </w:rPr>
        <w:t>；</w:t>
      </w:r>
    </w:p>
    <w:p>
      <w:pPr>
        <w:spacing w:line="480" w:lineRule="exact"/>
        <w:ind w:firstLine="420" w:firstLineChars="200"/>
        <w:rPr>
          <w:rFonts w:ascii="宋体" w:hAnsi="宋体" w:cs="宋体"/>
          <w:szCs w:val="21"/>
          <w:lang w:val="zh-CN"/>
        </w:rPr>
      </w:pPr>
      <w:r>
        <w:rPr>
          <w:rFonts w:hint="eastAsia" w:ascii="宋体" w:hAnsi="宋体" w:cs="宋体"/>
          <w:szCs w:val="21"/>
          <w:lang w:val="zh-CN"/>
        </w:rPr>
        <w:t>（</w:t>
      </w:r>
      <w:r>
        <w:rPr>
          <w:rFonts w:hint="eastAsia" w:ascii="宋体" w:hAnsi="宋体" w:cs="宋体"/>
          <w:szCs w:val="21"/>
        </w:rPr>
        <w:t>7</w:t>
      </w:r>
      <w:r>
        <w:rPr>
          <w:rFonts w:hint="eastAsia" w:ascii="宋体" w:hAnsi="宋体" w:cs="宋体"/>
          <w:szCs w:val="21"/>
          <w:lang w:val="zh-CN"/>
        </w:rPr>
        <w:t>）按本章第2.2.</w:t>
      </w:r>
      <w:r>
        <w:rPr>
          <w:rFonts w:hint="eastAsia" w:ascii="宋体" w:hAnsi="宋体" w:cs="宋体"/>
          <w:szCs w:val="21"/>
        </w:rPr>
        <w:t>2</w:t>
      </w:r>
      <w:r>
        <w:rPr>
          <w:rFonts w:hint="eastAsia" w:ascii="宋体" w:hAnsi="宋体" w:cs="宋体"/>
          <w:szCs w:val="21"/>
          <w:lang w:val="zh-CN"/>
        </w:rPr>
        <w:t>（</w:t>
      </w:r>
      <w:r>
        <w:rPr>
          <w:rFonts w:hint="eastAsia" w:ascii="宋体" w:hAnsi="宋体" w:cs="宋体"/>
          <w:szCs w:val="21"/>
        </w:rPr>
        <w:t>7</w:t>
      </w:r>
      <w:r>
        <w:rPr>
          <w:rFonts w:hint="eastAsia" w:ascii="宋体" w:hAnsi="宋体" w:cs="宋体"/>
          <w:szCs w:val="21"/>
          <w:lang w:val="zh-CN"/>
        </w:rPr>
        <w:t>）目规定的评审因素和分值计算出得分</w:t>
      </w:r>
      <w:r>
        <w:rPr>
          <w:rFonts w:hint="eastAsia" w:ascii="宋体" w:hAnsi="宋体" w:cs="宋体"/>
          <w:szCs w:val="21"/>
        </w:rPr>
        <w:t>G</w:t>
      </w:r>
      <w:r>
        <w:rPr>
          <w:rFonts w:hint="eastAsia" w:ascii="宋体" w:hAnsi="宋体" w:cs="宋体"/>
          <w:szCs w:val="21"/>
          <w:lang w:val="zh-CN"/>
        </w:rPr>
        <w:t>；</w:t>
      </w:r>
    </w:p>
    <w:p>
      <w:pPr>
        <w:spacing w:line="480" w:lineRule="exact"/>
        <w:ind w:firstLine="420" w:firstLineChars="200"/>
        <w:rPr>
          <w:rFonts w:ascii="宋体" w:hAnsi="宋体" w:cs="宋体"/>
          <w:szCs w:val="21"/>
          <w:lang w:val="zh-CN"/>
        </w:rPr>
      </w:pPr>
      <w:r>
        <w:rPr>
          <w:rFonts w:hint="eastAsia" w:ascii="宋体" w:hAnsi="宋体" w:cs="宋体"/>
          <w:szCs w:val="21"/>
          <w:lang w:val="zh-CN"/>
        </w:rPr>
        <w:t>（</w:t>
      </w:r>
      <w:r>
        <w:rPr>
          <w:rFonts w:hint="eastAsia" w:ascii="宋体" w:hAnsi="宋体" w:cs="宋体"/>
          <w:szCs w:val="21"/>
        </w:rPr>
        <w:t>8</w:t>
      </w:r>
      <w:r>
        <w:rPr>
          <w:rFonts w:hint="eastAsia" w:ascii="宋体" w:hAnsi="宋体" w:cs="宋体"/>
          <w:szCs w:val="21"/>
          <w:lang w:val="zh-CN"/>
        </w:rPr>
        <w:t>）按本章第2.2.</w:t>
      </w:r>
      <w:r>
        <w:rPr>
          <w:rFonts w:hint="eastAsia" w:ascii="宋体" w:hAnsi="宋体" w:cs="宋体"/>
          <w:szCs w:val="21"/>
        </w:rPr>
        <w:t>2</w:t>
      </w:r>
      <w:r>
        <w:rPr>
          <w:rFonts w:hint="eastAsia" w:ascii="宋体" w:hAnsi="宋体" w:cs="宋体"/>
          <w:szCs w:val="21"/>
          <w:lang w:val="zh-CN"/>
        </w:rPr>
        <w:t>（</w:t>
      </w:r>
      <w:r>
        <w:rPr>
          <w:rFonts w:hint="eastAsia" w:ascii="宋体" w:hAnsi="宋体" w:cs="宋体"/>
          <w:szCs w:val="21"/>
        </w:rPr>
        <w:t>8</w:t>
      </w:r>
      <w:r>
        <w:rPr>
          <w:rFonts w:hint="eastAsia" w:ascii="宋体" w:hAnsi="宋体" w:cs="宋体"/>
          <w:szCs w:val="21"/>
          <w:lang w:val="zh-CN"/>
        </w:rPr>
        <w:t>）目规定的评审因素和分值计算出得分</w:t>
      </w:r>
      <w:r>
        <w:rPr>
          <w:rFonts w:hint="eastAsia" w:ascii="宋体" w:hAnsi="宋体" w:cs="宋体"/>
          <w:szCs w:val="21"/>
        </w:rPr>
        <w:t>H</w:t>
      </w:r>
      <w:r>
        <w:rPr>
          <w:rFonts w:hint="eastAsia" w:ascii="宋体" w:hAnsi="宋体" w:cs="宋体"/>
          <w:szCs w:val="21"/>
          <w:lang w:val="zh-CN"/>
        </w:rPr>
        <w:t>；</w:t>
      </w:r>
    </w:p>
    <w:p>
      <w:pPr>
        <w:spacing w:line="480" w:lineRule="exact"/>
        <w:ind w:firstLine="420" w:firstLineChars="200"/>
        <w:rPr>
          <w:rFonts w:ascii="宋体" w:hAnsi="宋体" w:cs="宋体"/>
          <w:szCs w:val="21"/>
          <w:lang w:val="zh-CN"/>
        </w:rPr>
      </w:pPr>
      <w:r>
        <w:rPr>
          <w:rFonts w:hint="eastAsia" w:ascii="宋体" w:hAnsi="宋体" w:cs="宋体"/>
          <w:szCs w:val="21"/>
          <w:lang w:val="zh-CN"/>
        </w:rPr>
        <w:t>（</w:t>
      </w:r>
      <w:r>
        <w:rPr>
          <w:rFonts w:hint="eastAsia" w:ascii="宋体" w:hAnsi="宋体" w:cs="宋体"/>
          <w:szCs w:val="21"/>
        </w:rPr>
        <w:t>9</w:t>
      </w:r>
      <w:r>
        <w:rPr>
          <w:rFonts w:hint="eastAsia" w:ascii="宋体" w:hAnsi="宋体" w:cs="宋体"/>
          <w:szCs w:val="21"/>
          <w:lang w:val="zh-CN"/>
        </w:rPr>
        <w:t>）按本章第2.2.</w:t>
      </w:r>
      <w:r>
        <w:rPr>
          <w:rFonts w:hint="eastAsia" w:ascii="宋体" w:hAnsi="宋体" w:cs="宋体"/>
          <w:szCs w:val="21"/>
        </w:rPr>
        <w:t>2</w:t>
      </w:r>
      <w:r>
        <w:rPr>
          <w:rFonts w:hint="eastAsia" w:ascii="宋体" w:hAnsi="宋体" w:cs="宋体"/>
          <w:szCs w:val="21"/>
          <w:lang w:val="zh-CN"/>
        </w:rPr>
        <w:t>（</w:t>
      </w:r>
      <w:r>
        <w:rPr>
          <w:rFonts w:hint="eastAsia" w:ascii="宋体" w:hAnsi="宋体" w:cs="宋体"/>
          <w:szCs w:val="21"/>
        </w:rPr>
        <w:t>9</w:t>
      </w:r>
      <w:r>
        <w:rPr>
          <w:rFonts w:hint="eastAsia" w:ascii="宋体" w:hAnsi="宋体" w:cs="宋体"/>
          <w:szCs w:val="21"/>
          <w:lang w:val="zh-CN"/>
        </w:rPr>
        <w:t>）目规定的评审因素和分值计算出得分</w:t>
      </w:r>
      <w:r>
        <w:rPr>
          <w:rFonts w:hint="eastAsia" w:ascii="宋体" w:hAnsi="宋体" w:cs="宋体"/>
          <w:szCs w:val="21"/>
        </w:rPr>
        <w:t>I</w:t>
      </w:r>
      <w:r>
        <w:rPr>
          <w:rFonts w:hint="eastAsia" w:ascii="宋体" w:hAnsi="宋体" w:cs="宋体"/>
          <w:szCs w:val="21"/>
          <w:lang w:val="zh-CN"/>
        </w:rPr>
        <w:t>；</w:t>
      </w:r>
    </w:p>
    <w:p>
      <w:pPr>
        <w:spacing w:line="480" w:lineRule="exact"/>
        <w:rPr>
          <w:rFonts w:ascii="宋体" w:hAnsi="宋体" w:cs="宋体"/>
          <w:szCs w:val="21"/>
          <w:lang w:val="zh-CN"/>
        </w:rPr>
      </w:pPr>
      <w:r>
        <w:rPr>
          <w:rFonts w:hint="eastAsia" w:ascii="宋体" w:hAnsi="宋体" w:cs="宋体"/>
          <w:szCs w:val="21"/>
          <w:lang w:val="zh-CN"/>
        </w:rPr>
        <w:t>3.2.2 评分分值计算保留小数点后两位，小数点后第三位“四舍五入”。</w:t>
      </w:r>
    </w:p>
    <w:p>
      <w:pPr>
        <w:spacing w:line="480" w:lineRule="exact"/>
        <w:rPr>
          <w:rFonts w:ascii="宋体" w:hAnsi="宋体" w:cs="宋体"/>
          <w:szCs w:val="21"/>
          <w:lang w:val="zh-CN"/>
        </w:rPr>
      </w:pPr>
      <w:r>
        <w:rPr>
          <w:rFonts w:hint="eastAsia" w:ascii="宋体" w:hAnsi="宋体" w:cs="宋体"/>
          <w:szCs w:val="21"/>
          <w:lang w:val="zh-CN"/>
        </w:rPr>
        <w:t>3.2.3 投标人得分=A+B+C+</w:t>
      </w:r>
      <w:r>
        <w:rPr>
          <w:rFonts w:hint="eastAsia" w:ascii="宋体" w:hAnsi="宋体" w:cs="宋体"/>
          <w:szCs w:val="21"/>
        </w:rPr>
        <w:t>D+E+F+G+H+I</w:t>
      </w:r>
      <w:r>
        <w:rPr>
          <w:rFonts w:hint="eastAsia" w:ascii="宋体" w:hAnsi="宋体" w:cs="宋体"/>
          <w:szCs w:val="21"/>
          <w:lang w:val="zh-CN"/>
        </w:rPr>
        <w:t>。</w:t>
      </w:r>
    </w:p>
    <w:p>
      <w:pPr>
        <w:spacing w:line="480" w:lineRule="exact"/>
        <w:rPr>
          <w:rFonts w:ascii="宋体" w:hAnsi="宋体" w:cs="宋体"/>
          <w:szCs w:val="21"/>
          <w:lang w:val="zh-CN"/>
        </w:rPr>
      </w:pPr>
      <w:r>
        <w:rPr>
          <w:rFonts w:hint="eastAsia" w:ascii="宋体" w:hAnsi="宋体" w:cs="宋体"/>
          <w:szCs w:val="21"/>
          <w:lang w:val="zh-CN"/>
        </w:rPr>
        <w:t>3.2.4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评标委员会应当认定该投标人以低于成本报价竞标，否决其投标。</w:t>
      </w:r>
    </w:p>
    <w:p>
      <w:pPr>
        <w:spacing w:line="480" w:lineRule="exact"/>
        <w:rPr>
          <w:rFonts w:ascii="宋体" w:hAnsi="宋体" w:cs="宋体"/>
          <w:szCs w:val="21"/>
          <w:lang w:val="zh-CN"/>
        </w:rPr>
      </w:pPr>
      <w:r>
        <w:rPr>
          <w:rFonts w:hint="eastAsia" w:ascii="宋体" w:hAnsi="宋体" w:cs="宋体"/>
          <w:szCs w:val="21"/>
          <w:lang w:val="zh-CN"/>
        </w:rPr>
        <w:t>3.3 响应文件的澄清和补正</w:t>
      </w:r>
    </w:p>
    <w:p>
      <w:pPr>
        <w:spacing w:line="480" w:lineRule="exact"/>
        <w:rPr>
          <w:rFonts w:ascii="宋体" w:hAnsi="宋体" w:cs="宋体"/>
          <w:szCs w:val="21"/>
          <w:lang w:val="zh-CN"/>
        </w:rPr>
      </w:pPr>
      <w:r>
        <w:rPr>
          <w:rFonts w:hint="eastAsia" w:ascii="宋体" w:hAnsi="宋体" w:cs="宋体"/>
          <w:szCs w:val="21"/>
          <w:lang w:val="zh-CN"/>
        </w:rPr>
        <w:t>3.3.1在评标过程中，评标委员会可以书面形式要求投标人对所提交响应文件中不明确的内容进行书面澄清或说明，或者对细微偏差进行补正。评标委员会不接受投标人主动提出的澄清、说明或补正。</w:t>
      </w:r>
    </w:p>
    <w:p>
      <w:pPr>
        <w:spacing w:line="480" w:lineRule="exact"/>
        <w:rPr>
          <w:rFonts w:ascii="宋体" w:hAnsi="宋体" w:cs="宋体"/>
          <w:szCs w:val="21"/>
          <w:lang w:val="zh-CN"/>
        </w:rPr>
      </w:pPr>
      <w:r>
        <w:rPr>
          <w:rFonts w:hint="eastAsia" w:ascii="宋体" w:hAnsi="宋体" w:cs="宋体"/>
          <w:szCs w:val="21"/>
          <w:lang w:val="zh-CN"/>
        </w:rPr>
        <w:t>3.3.2 澄清、说明和补正不得改变响应文件的实质性内容。投标人的书面澄清、说明和补正属于响应文件的组成部分。</w:t>
      </w:r>
    </w:p>
    <w:p>
      <w:pPr>
        <w:spacing w:line="480" w:lineRule="exact"/>
        <w:rPr>
          <w:rFonts w:ascii="宋体" w:hAnsi="宋体" w:cs="宋体"/>
          <w:szCs w:val="21"/>
          <w:lang w:val="zh-CN"/>
        </w:rPr>
      </w:pPr>
      <w:r>
        <w:rPr>
          <w:rFonts w:hint="eastAsia" w:ascii="宋体" w:hAnsi="宋体" w:cs="宋体"/>
          <w:szCs w:val="21"/>
          <w:lang w:val="zh-CN"/>
        </w:rPr>
        <w:t>3.3.3 评标委员会对投标人提交的澄清、说明或补正有疑问的，可以要求投标人进一步澄清、说明或补正，直至满足评标委员会的要求。</w:t>
      </w:r>
    </w:p>
    <w:p>
      <w:pPr>
        <w:adjustRightInd w:val="0"/>
        <w:snapToGrid w:val="0"/>
        <w:spacing w:line="480" w:lineRule="exact"/>
        <w:jc w:val="left"/>
        <w:rPr>
          <w:rFonts w:ascii="宋体" w:hAnsi="宋体" w:cs="宋体"/>
          <w:szCs w:val="21"/>
          <w:lang w:val="zh-CN"/>
        </w:rPr>
      </w:pPr>
      <w:r>
        <w:rPr>
          <w:rFonts w:hint="eastAsia" w:ascii="宋体" w:hAnsi="宋体" w:cs="宋体"/>
          <w:szCs w:val="21"/>
          <w:lang w:val="zh-CN"/>
        </w:rPr>
        <w:t>3.3.4 当有效投标不足三个时，评标委员会可依据评标委员会和评标方法暂行规定（原国家计委等七部委第12号令）第二十七条“评标委员会根据本规定第二十条、第二十一条、第二十二条、第二十三条、第二十五条的规定否决不合格投标或者界定为废标后，因有效投标不足三个使得投标明显缺乏竞争的，评标委员会可以否决全部投标。投标人少于三个或者所有投标被否决的，招标人应当依法重新招标”作出决定，是否继续评标。</w:t>
      </w:r>
    </w:p>
    <w:p>
      <w:pPr>
        <w:spacing w:line="480" w:lineRule="exact"/>
        <w:rPr>
          <w:rFonts w:ascii="宋体" w:hAnsi="宋体" w:cs="宋体"/>
          <w:szCs w:val="21"/>
          <w:lang w:val="zh-CN"/>
        </w:rPr>
      </w:pPr>
      <w:r>
        <w:rPr>
          <w:rFonts w:hint="eastAsia" w:ascii="宋体" w:hAnsi="宋体" w:cs="宋体"/>
          <w:szCs w:val="21"/>
          <w:lang w:val="zh-CN"/>
        </w:rPr>
        <w:t>3.4 评标结果</w:t>
      </w:r>
    </w:p>
    <w:p>
      <w:pPr>
        <w:spacing w:line="480" w:lineRule="exact"/>
        <w:rPr>
          <w:rFonts w:ascii="宋体" w:hAnsi="宋体" w:cs="宋体"/>
          <w:szCs w:val="21"/>
          <w:lang w:val="zh-CN"/>
        </w:rPr>
      </w:pPr>
      <w:r>
        <w:rPr>
          <w:rFonts w:hint="eastAsia" w:ascii="宋体" w:hAnsi="宋体" w:cs="宋体"/>
          <w:szCs w:val="21"/>
          <w:lang w:val="zh-CN"/>
        </w:rPr>
        <w:t>3.4.1评标委员会按照得分由高到低的顺序推荐中标候选人。</w:t>
      </w:r>
    </w:p>
    <w:p>
      <w:pPr>
        <w:spacing w:line="360" w:lineRule="auto"/>
        <w:rPr>
          <w:rFonts w:ascii="宋体" w:hAnsi="宋体" w:cs="宋体"/>
          <w:szCs w:val="21"/>
          <w:lang w:val="zh-CN"/>
        </w:rPr>
      </w:pPr>
      <w:r>
        <w:rPr>
          <w:rFonts w:hint="eastAsia" w:ascii="宋体" w:hAnsi="宋体" w:cs="宋体"/>
          <w:szCs w:val="21"/>
          <w:lang w:val="zh-CN"/>
        </w:rPr>
        <w:t>3.4.2招标人根据《</w:t>
      </w:r>
      <w:r>
        <w:rPr>
          <w:rFonts w:hint="eastAsia" w:ascii="宋体" w:hAnsi="宋体" w:cs="宋体"/>
          <w:lang w:val="zh-CN"/>
        </w:rPr>
        <w:t>中华人民共和国招标投标法实施条例</w:t>
      </w:r>
      <w:r>
        <w:rPr>
          <w:rFonts w:hint="eastAsia" w:ascii="宋体" w:hAnsi="宋体" w:cs="宋体"/>
          <w:szCs w:val="21"/>
          <w:lang w:val="zh-CN"/>
        </w:rPr>
        <w:t>》</w:t>
      </w:r>
      <w:r>
        <w:rPr>
          <w:rFonts w:hint="eastAsia" w:ascii="宋体" w:hAnsi="宋体" w:cs="宋体"/>
          <w:lang w:val="zh-CN"/>
        </w:rPr>
        <w:t>第五十五条“</w:t>
      </w:r>
      <w:r>
        <w:rPr>
          <w:rFonts w:hint="eastAsia" w:ascii="宋体" w:hAnsi="宋体" w:cs="宋体"/>
          <w:szCs w:val="21"/>
          <w:lang w:val="zh-CN"/>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确定中标人。</w:t>
      </w:r>
    </w:p>
    <w:p>
      <w:pPr>
        <w:widowControl/>
        <w:jc w:val="center"/>
        <w:rPr>
          <w:rFonts w:ascii="宋体" w:hAnsi="宋体"/>
          <w:sz w:val="32"/>
          <w:lang w:val="zh-CN"/>
        </w:rPr>
      </w:pPr>
    </w:p>
    <w:p>
      <w:pPr>
        <w:widowControl/>
        <w:jc w:val="center"/>
        <w:rPr>
          <w:rFonts w:ascii="宋体" w:hAnsi="宋体"/>
          <w:sz w:val="32"/>
          <w:lang w:val="zh-CN"/>
        </w:rPr>
      </w:pPr>
    </w:p>
    <w:p>
      <w:pPr>
        <w:widowControl/>
        <w:jc w:val="center"/>
        <w:rPr>
          <w:rFonts w:ascii="宋体" w:hAnsi="宋体"/>
          <w:sz w:val="32"/>
          <w:lang w:val="zh-CN"/>
        </w:rPr>
      </w:pPr>
    </w:p>
    <w:p>
      <w:pPr>
        <w:widowControl/>
        <w:jc w:val="center"/>
        <w:rPr>
          <w:rFonts w:ascii="宋体" w:hAnsi="宋体"/>
          <w:sz w:val="32"/>
          <w:lang w:val="zh-CN"/>
        </w:rPr>
      </w:pPr>
    </w:p>
    <w:p>
      <w:pPr>
        <w:widowControl/>
        <w:jc w:val="center"/>
        <w:rPr>
          <w:rFonts w:ascii="宋体" w:hAnsi="宋体"/>
          <w:sz w:val="32"/>
          <w:lang w:val="zh-CN"/>
        </w:rPr>
      </w:pPr>
    </w:p>
    <w:p>
      <w:pPr>
        <w:widowControl/>
        <w:jc w:val="center"/>
        <w:rPr>
          <w:rFonts w:ascii="宋体" w:hAnsi="宋体"/>
          <w:sz w:val="32"/>
          <w:lang w:val="zh-CN"/>
        </w:rPr>
      </w:pPr>
    </w:p>
    <w:p>
      <w:pPr>
        <w:widowControl/>
        <w:jc w:val="center"/>
        <w:rPr>
          <w:rFonts w:ascii="宋体" w:hAnsi="宋体"/>
          <w:sz w:val="32"/>
          <w:lang w:val="zh-CN"/>
        </w:rPr>
      </w:pPr>
    </w:p>
    <w:p>
      <w:pPr>
        <w:widowControl/>
        <w:jc w:val="center"/>
        <w:rPr>
          <w:rFonts w:ascii="宋体" w:hAnsi="宋体"/>
          <w:sz w:val="32"/>
          <w:lang w:val="zh-CN"/>
        </w:rPr>
      </w:pPr>
    </w:p>
    <w:p>
      <w:pPr>
        <w:widowControl/>
        <w:jc w:val="center"/>
        <w:rPr>
          <w:rFonts w:ascii="宋体" w:hAnsi="宋体"/>
          <w:sz w:val="32"/>
          <w:lang w:val="zh-CN"/>
        </w:rPr>
      </w:pPr>
    </w:p>
    <w:p>
      <w:pPr>
        <w:widowControl/>
        <w:jc w:val="center"/>
        <w:rPr>
          <w:rFonts w:ascii="宋体" w:hAnsi="宋体"/>
          <w:sz w:val="32"/>
          <w:lang w:val="zh-CN"/>
        </w:rPr>
      </w:pPr>
    </w:p>
    <w:p>
      <w:pPr>
        <w:widowControl/>
        <w:jc w:val="center"/>
        <w:rPr>
          <w:rFonts w:ascii="宋体" w:hAnsi="宋体"/>
          <w:sz w:val="32"/>
          <w:lang w:val="zh-CN"/>
        </w:rPr>
      </w:pPr>
    </w:p>
    <w:p>
      <w:pPr>
        <w:rPr>
          <w:rFonts w:ascii="楷体" w:hAnsi="楷体" w:eastAsia="楷体" w:cs="楷体"/>
          <w:color w:val="000000"/>
          <w:sz w:val="28"/>
          <w:szCs w:val="28"/>
        </w:rPr>
      </w:pPr>
      <w:r>
        <w:rPr>
          <w:rFonts w:hint="eastAsia" w:ascii="楷体" w:hAnsi="楷体" w:eastAsia="楷体" w:cs="楷体"/>
          <w:color w:val="000000"/>
          <w:sz w:val="28"/>
          <w:szCs w:val="28"/>
        </w:rPr>
        <w:t>附件 3：</w:t>
      </w:r>
    </w:p>
    <w:p>
      <w:pPr>
        <w:jc w:val="center"/>
        <w:rPr>
          <w:rFonts w:ascii="楷体" w:hAnsi="楷体" w:eastAsia="楷体" w:cs="楷体"/>
          <w:color w:val="000000"/>
          <w:sz w:val="28"/>
          <w:szCs w:val="28"/>
        </w:rPr>
      </w:pPr>
      <w:r>
        <w:rPr>
          <w:rFonts w:hint="eastAsia" w:ascii="楷体" w:hAnsi="楷体" w:eastAsia="楷体" w:cs="楷体"/>
          <w:color w:val="000000"/>
          <w:sz w:val="44"/>
          <w:szCs w:val="44"/>
        </w:rPr>
        <w:t>响应文件格式和内容要求</w:t>
      </w:r>
    </w:p>
    <w:p>
      <w:p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响应文件均以书面形式提供，采用胶装方式装订，不得采用活页装订，文件封页上应标明项目名称和投标方名称，用快递或直接送达方式提交。</w:t>
      </w:r>
    </w:p>
    <w:p>
      <w:p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响应文件采用牛皮文件纸袋密封封装。</w:t>
      </w:r>
    </w:p>
    <w:p>
      <w:p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 xml:space="preserve">参加邀请招标的文件请按以下顺序且至少包括以下内容： </w:t>
      </w:r>
    </w:p>
    <w:p>
      <w:pPr>
        <w:ind w:firstLine="560" w:firstLineChars="200"/>
        <w:rPr>
          <w:rFonts w:ascii="楷体" w:hAnsi="楷体" w:eastAsia="楷体" w:cs="楷体"/>
          <w:color w:val="000000"/>
          <w:sz w:val="28"/>
          <w:szCs w:val="28"/>
        </w:rPr>
      </w:pPr>
    </w:p>
    <w:p>
      <w:p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 xml:space="preserve">一、公司情况简介 </w:t>
      </w:r>
    </w:p>
    <w:p>
      <w:p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 xml:space="preserve">1、营业执照副本复印件（2023年已完成年报公示，要求清晰反映企业法人年检情况记录和经营范围，同时加盖投标人公章），法人身份证、开户许可证复印件加盖公章。 </w:t>
      </w:r>
    </w:p>
    <w:p>
      <w:p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二、投标函</w:t>
      </w:r>
    </w:p>
    <w:p>
      <w:p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三、投标报价表</w:t>
      </w:r>
    </w:p>
    <w:p>
      <w:p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四、法定代表人资格证明书</w:t>
      </w:r>
    </w:p>
    <w:p>
      <w:p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五、法定代表人授权委托书</w:t>
      </w:r>
    </w:p>
    <w:p>
      <w:pPr>
        <w:rPr>
          <w:rFonts w:ascii="楷体" w:hAnsi="楷体" w:eastAsia="楷体" w:cs="楷体"/>
          <w:color w:val="000000"/>
          <w:sz w:val="28"/>
          <w:szCs w:val="28"/>
        </w:rPr>
      </w:pPr>
      <w:r>
        <w:rPr>
          <w:rFonts w:hint="eastAsia" w:ascii="楷体" w:hAnsi="楷体" w:eastAsia="楷体" w:cs="楷体"/>
          <w:color w:val="000000"/>
          <w:sz w:val="28"/>
          <w:szCs w:val="28"/>
        </w:rPr>
        <w:t xml:space="preserve">   据此函，签字宣布同意如下：</w:t>
      </w:r>
    </w:p>
    <w:p>
      <w:pPr>
        <w:numPr>
          <w:ilvl w:val="0"/>
          <w:numId w:val="5"/>
        </w:num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我们承担根据招标文件的规定，完成合同的责任和义务。</w:t>
      </w:r>
    </w:p>
    <w:p>
      <w:pPr>
        <w:numPr>
          <w:ilvl w:val="0"/>
          <w:numId w:val="5"/>
        </w:num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我们已详细审核全部招标文件，包括招标文件修改书（如有）、参考资料及有关附件，不存在含糊不清或误解的问题。</w:t>
      </w:r>
    </w:p>
    <w:p>
      <w:pPr>
        <w:numPr>
          <w:ilvl w:val="0"/>
          <w:numId w:val="5"/>
        </w:num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我们同意在规定的时间、地点及方式递交本响应文件。</w:t>
      </w:r>
    </w:p>
    <w:p>
      <w:pPr>
        <w:numPr>
          <w:ilvl w:val="0"/>
          <w:numId w:val="5"/>
        </w:num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同意向贵方提供并配合贵方复核与本投标要求有关的任何证据或资料。</w:t>
      </w:r>
    </w:p>
    <w:p>
      <w:pPr>
        <w:numPr>
          <w:ilvl w:val="0"/>
          <w:numId w:val="5"/>
        </w:num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我们完全理解贵方不一定要接受最低报价的投标或收到的任何投标。</w:t>
      </w:r>
    </w:p>
    <w:p>
      <w:pPr>
        <w:rPr>
          <w:rFonts w:ascii="楷体" w:hAnsi="楷体" w:eastAsia="楷体" w:cs="楷体"/>
          <w:color w:val="000000"/>
          <w:sz w:val="28"/>
          <w:szCs w:val="28"/>
        </w:rPr>
      </w:pPr>
    </w:p>
    <w:p>
      <w:pPr>
        <w:rPr>
          <w:rFonts w:ascii="楷体" w:hAnsi="楷体" w:eastAsia="楷体" w:cs="楷体"/>
          <w:color w:val="000000"/>
          <w:sz w:val="28"/>
          <w:szCs w:val="28"/>
        </w:rPr>
      </w:pPr>
      <w:r>
        <w:rPr>
          <w:rFonts w:hint="eastAsia" w:ascii="楷体" w:hAnsi="楷体" w:eastAsia="楷体" w:cs="楷体"/>
          <w:color w:val="000000"/>
          <w:sz w:val="28"/>
          <w:szCs w:val="28"/>
        </w:rPr>
        <w:t>与本投标有关的正式通讯地址为：</w:t>
      </w:r>
    </w:p>
    <w:p>
      <w:pPr>
        <w:rPr>
          <w:rFonts w:ascii="楷体" w:hAnsi="楷体" w:eastAsia="楷体" w:cs="楷体"/>
          <w:color w:val="000000"/>
          <w:sz w:val="28"/>
          <w:szCs w:val="28"/>
        </w:rPr>
      </w:pPr>
      <w:r>
        <w:rPr>
          <w:rFonts w:hint="eastAsia" w:ascii="楷体" w:hAnsi="楷体" w:eastAsia="楷体" w:cs="楷体"/>
          <w:color w:val="000000"/>
          <w:sz w:val="28"/>
          <w:szCs w:val="28"/>
        </w:rPr>
        <w:t xml:space="preserve">投标人名称： </w:t>
      </w:r>
    </w:p>
    <w:p>
      <w:pPr>
        <w:rPr>
          <w:rFonts w:ascii="楷体" w:hAnsi="楷体" w:eastAsia="楷体" w:cs="楷体"/>
          <w:color w:val="000000"/>
          <w:sz w:val="28"/>
          <w:szCs w:val="28"/>
        </w:rPr>
      </w:pPr>
      <w:r>
        <w:rPr>
          <w:rFonts w:hint="eastAsia" w:ascii="楷体" w:hAnsi="楷体" w:eastAsia="楷体" w:cs="楷体"/>
          <w:color w:val="000000"/>
          <w:sz w:val="28"/>
          <w:szCs w:val="28"/>
        </w:rPr>
        <w:t xml:space="preserve">地址及邮编： </w:t>
      </w:r>
    </w:p>
    <w:p>
      <w:pPr>
        <w:rPr>
          <w:rFonts w:ascii="楷体" w:hAnsi="楷体" w:eastAsia="楷体" w:cs="楷体"/>
          <w:color w:val="000000"/>
          <w:sz w:val="28"/>
          <w:szCs w:val="28"/>
        </w:rPr>
      </w:pPr>
      <w:r>
        <w:rPr>
          <w:rFonts w:hint="eastAsia" w:ascii="楷体" w:hAnsi="楷体" w:eastAsia="楷体" w:cs="楷体"/>
          <w:color w:val="000000"/>
          <w:sz w:val="28"/>
          <w:szCs w:val="28"/>
        </w:rPr>
        <w:t xml:space="preserve">电话、电报、传真或电传： </w:t>
      </w:r>
    </w:p>
    <w:p>
      <w:pPr>
        <w:rPr>
          <w:rFonts w:ascii="楷体" w:hAnsi="楷体" w:eastAsia="楷体" w:cs="楷体"/>
          <w:color w:val="000000"/>
          <w:sz w:val="28"/>
          <w:szCs w:val="28"/>
        </w:rPr>
      </w:pPr>
      <w:r>
        <w:rPr>
          <w:rFonts w:hint="eastAsia" w:ascii="楷体" w:hAnsi="楷体" w:eastAsia="楷体" w:cs="楷体"/>
          <w:color w:val="000000"/>
          <w:sz w:val="28"/>
          <w:szCs w:val="28"/>
        </w:rPr>
        <w:t xml:space="preserve">投标人代表姓名： </w:t>
      </w:r>
    </w:p>
    <w:p>
      <w:pPr>
        <w:rPr>
          <w:rFonts w:ascii="楷体" w:hAnsi="楷体" w:eastAsia="楷体" w:cs="楷体"/>
          <w:color w:val="000000"/>
          <w:sz w:val="28"/>
          <w:szCs w:val="28"/>
        </w:rPr>
      </w:pPr>
      <w:r>
        <w:rPr>
          <w:rFonts w:hint="eastAsia" w:ascii="楷体" w:hAnsi="楷体" w:eastAsia="楷体" w:cs="楷体"/>
          <w:color w:val="000000"/>
          <w:sz w:val="28"/>
          <w:szCs w:val="28"/>
        </w:rPr>
        <w:t xml:space="preserve">地址： </w:t>
      </w:r>
    </w:p>
    <w:p>
      <w:pPr>
        <w:rPr>
          <w:rFonts w:ascii="楷体" w:hAnsi="楷体" w:eastAsia="楷体" w:cs="楷体"/>
          <w:color w:val="000000"/>
          <w:sz w:val="28"/>
          <w:szCs w:val="28"/>
        </w:rPr>
      </w:pPr>
      <w:r>
        <w:rPr>
          <w:rFonts w:hint="eastAsia" w:ascii="楷体" w:hAnsi="楷体" w:eastAsia="楷体" w:cs="楷体"/>
          <w:color w:val="000000"/>
          <w:sz w:val="28"/>
          <w:szCs w:val="28"/>
        </w:rPr>
        <w:t xml:space="preserve">开户银行名称： </w:t>
      </w:r>
    </w:p>
    <w:p>
      <w:pPr>
        <w:rPr>
          <w:rFonts w:ascii="楷体" w:hAnsi="楷体" w:eastAsia="楷体" w:cs="楷体"/>
          <w:color w:val="000000"/>
          <w:sz w:val="28"/>
          <w:szCs w:val="28"/>
        </w:rPr>
      </w:pPr>
      <w:r>
        <w:rPr>
          <w:rFonts w:hint="eastAsia" w:ascii="楷体" w:hAnsi="楷体" w:eastAsia="楷体" w:cs="楷体"/>
          <w:color w:val="000000"/>
          <w:sz w:val="28"/>
          <w:szCs w:val="28"/>
        </w:rPr>
        <w:t xml:space="preserve">银行帐号： </w:t>
      </w:r>
    </w:p>
    <w:p>
      <w:pPr>
        <w:rPr>
          <w:rFonts w:ascii="楷体" w:hAnsi="楷体" w:eastAsia="楷体" w:cs="楷体"/>
          <w:color w:val="000000"/>
          <w:sz w:val="28"/>
          <w:szCs w:val="28"/>
        </w:rPr>
      </w:pPr>
      <w:r>
        <w:rPr>
          <w:rFonts w:hint="eastAsia" w:ascii="楷体" w:hAnsi="楷体" w:eastAsia="楷体" w:cs="楷体"/>
          <w:color w:val="000000"/>
          <w:sz w:val="28"/>
          <w:szCs w:val="28"/>
        </w:rPr>
        <w:t xml:space="preserve">公章： </w:t>
      </w:r>
    </w:p>
    <w:p>
      <w:pPr>
        <w:rPr>
          <w:rFonts w:ascii="楷体" w:hAnsi="楷体" w:eastAsia="楷体" w:cs="楷体"/>
          <w:color w:val="000000"/>
          <w:sz w:val="28"/>
          <w:szCs w:val="28"/>
        </w:rPr>
      </w:pPr>
      <w:r>
        <w:rPr>
          <w:rFonts w:hint="eastAsia" w:ascii="楷体" w:hAnsi="楷体" w:eastAsia="楷体" w:cs="楷体"/>
          <w:color w:val="000000"/>
          <w:sz w:val="28"/>
          <w:szCs w:val="28"/>
        </w:rPr>
        <w:t>日期：     年    月     日</w:t>
      </w:r>
    </w:p>
    <w:p>
      <w:pPr>
        <w:rPr>
          <w:rFonts w:ascii="楷体" w:hAnsi="楷体" w:eastAsia="楷体" w:cs="楷体"/>
          <w:color w:val="000000"/>
          <w:sz w:val="28"/>
          <w:szCs w:val="28"/>
        </w:rPr>
      </w:pPr>
    </w:p>
    <w:p>
      <w:pPr>
        <w:rPr>
          <w:rFonts w:ascii="楷体" w:hAnsi="楷体" w:eastAsia="楷体" w:cs="楷体"/>
          <w:color w:val="000000"/>
          <w:sz w:val="28"/>
          <w:szCs w:val="28"/>
        </w:rPr>
      </w:pPr>
    </w:p>
    <w:p>
      <w:pPr>
        <w:rPr>
          <w:rFonts w:ascii="楷体" w:hAnsi="楷体" w:eastAsia="楷体" w:cs="楷体"/>
          <w:color w:val="000000"/>
          <w:sz w:val="28"/>
          <w:szCs w:val="28"/>
        </w:rPr>
      </w:pPr>
    </w:p>
    <w:p>
      <w:pPr>
        <w:rPr>
          <w:rFonts w:ascii="楷体" w:hAnsi="楷体" w:eastAsia="楷体" w:cs="楷体"/>
          <w:color w:val="000000"/>
          <w:sz w:val="28"/>
          <w:szCs w:val="28"/>
        </w:rPr>
      </w:pPr>
    </w:p>
    <w:p>
      <w:pPr>
        <w:rPr>
          <w:rFonts w:ascii="楷体" w:hAnsi="楷体" w:eastAsia="楷体" w:cs="楷体"/>
          <w:color w:val="000000"/>
          <w:sz w:val="28"/>
          <w:szCs w:val="28"/>
        </w:rPr>
      </w:pPr>
    </w:p>
    <w:p>
      <w:pPr>
        <w:rPr>
          <w:rFonts w:ascii="楷体" w:hAnsi="楷体" w:eastAsia="楷体" w:cs="楷体"/>
          <w:color w:val="000000"/>
          <w:sz w:val="28"/>
          <w:szCs w:val="28"/>
        </w:rPr>
      </w:pPr>
    </w:p>
    <w:p>
      <w:pPr>
        <w:rPr>
          <w:rFonts w:ascii="楷体" w:hAnsi="楷体" w:eastAsia="楷体" w:cs="楷体"/>
          <w:color w:val="000000"/>
          <w:sz w:val="28"/>
          <w:szCs w:val="28"/>
        </w:rPr>
      </w:pPr>
    </w:p>
    <w:p>
      <w:pPr>
        <w:widowControl/>
        <w:jc w:val="center"/>
        <w:textAlignment w:val="center"/>
        <w:rPr>
          <w:rFonts w:ascii="楷体" w:hAnsi="楷体" w:eastAsia="楷体" w:cs="楷体"/>
          <w:color w:val="000000"/>
          <w:sz w:val="28"/>
          <w:szCs w:val="28"/>
        </w:rPr>
      </w:pPr>
      <w:r>
        <w:rPr>
          <w:rFonts w:hint="eastAsia" w:ascii="楷体" w:hAnsi="楷体" w:eastAsia="楷体" w:cs="楷体"/>
          <w:color w:val="000000"/>
          <w:sz w:val="28"/>
          <w:szCs w:val="28"/>
        </w:rPr>
        <w:t>附件4：（注：报价以人民币为单位填报，报价为含税报价，须列出各个项目单价，不得仅填报总价。）</w:t>
      </w:r>
    </w:p>
    <w:p>
      <w:pPr>
        <w:jc w:val="center"/>
        <w:rPr>
          <w:rFonts w:ascii="楷体" w:hAnsi="楷体" w:eastAsia="楷体" w:cs="楷体"/>
          <w:color w:val="000000"/>
          <w:sz w:val="44"/>
          <w:szCs w:val="44"/>
        </w:rPr>
      </w:pPr>
      <w:r>
        <w:rPr>
          <w:rFonts w:hint="eastAsia" w:ascii="楷体" w:hAnsi="楷体" w:eastAsia="楷体" w:cs="楷体"/>
          <w:color w:val="000000"/>
          <w:sz w:val="44"/>
          <w:szCs w:val="44"/>
        </w:rPr>
        <w:t>投标方报价表</w:t>
      </w:r>
    </w:p>
    <w:p>
      <w:pPr>
        <w:rPr>
          <w:rFonts w:ascii="楷体" w:hAnsi="楷体" w:eastAsia="楷体" w:cs="楷体"/>
          <w:color w:val="000000"/>
          <w:sz w:val="28"/>
          <w:szCs w:val="28"/>
        </w:rPr>
      </w:pPr>
    </w:p>
    <w:p>
      <w:pPr>
        <w:rPr>
          <w:rFonts w:ascii="楷体" w:hAnsi="楷体" w:eastAsia="楷体" w:cs="楷体"/>
          <w:color w:val="000000"/>
          <w:sz w:val="28"/>
          <w:szCs w:val="28"/>
        </w:rPr>
      </w:pPr>
    </w:p>
    <w:p>
      <w:pPr>
        <w:rPr>
          <w:rFonts w:ascii="楷体" w:hAnsi="楷体" w:eastAsia="楷体" w:cs="楷体"/>
          <w:color w:val="000000"/>
          <w:sz w:val="28"/>
          <w:szCs w:val="28"/>
        </w:rPr>
      </w:pPr>
    </w:p>
    <w:p>
      <w:pPr>
        <w:rPr>
          <w:rFonts w:ascii="楷体" w:hAnsi="楷体" w:eastAsia="楷体" w:cs="楷体"/>
          <w:color w:val="000000"/>
          <w:sz w:val="28"/>
          <w:szCs w:val="28"/>
        </w:rPr>
      </w:pPr>
    </w:p>
    <w:p>
      <w:pPr>
        <w:rPr>
          <w:rFonts w:ascii="楷体" w:hAnsi="楷体" w:eastAsia="楷体" w:cs="楷体"/>
          <w:color w:val="000000"/>
          <w:sz w:val="28"/>
          <w:szCs w:val="28"/>
        </w:rPr>
      </w:pPr>
    </w:p>
    <w:p>
      <w:pPr>
        <w:rPr>
          <w:rFonts w:ascii="楷体" w:hAnsi="楷体" w:eastAsia="楷体" w:cs="楷体"/>
          <w:color w:val="000000"/>
          <w:sz w:val="28"/>
          <w:szCs w:val="28"/>
        </w:rPr>
      </w:pPr>
    </w:p>
    <w:p>
      <w:pPr>
        <w:rPr>
          <w:rFonts w:ascii="楷体" w:hAnsi="楷体" w:eastAsia="楷体" w:cs="楷体"/>
          <w:color w:val="000000"/>
          <w:sz w:val="28"/>
          <w:szCs w:val="28"/>
        </w:rPr>
      </w:pPr>
    </w:p>
    <w:p>
      <w:pPr>
        <w:rPr>
          <w:rFonts w:ascii="楷体" w:hAnsi="楷体" w:eastAsia="楷体" w:cs="楷体"/>
          <w:color w:val="000000"/>
          <w:sz w:val="28"/>
          <w:szCs w:val="28"/>
        </w:rPr>
      </w:pPr>
    </w:p>
    <w:p>
      <w:pPr>
        <w:rPr>
          <w:rFonts w:ascii="楷体" w:hAnsi="楷体" w:eastAsia="楷体" w:cs="楷体"/>
          <w:color w:val="000000"/>
          <w:sz w:val="28"/>
          <w:szCs w:val="28"/>
        </w:rPr>
      </w:pPr>
    </w:p>
    <w:p>
      <w:pPr>
        <w:rPr>
          <w:rFonts w:ascii="楷体" w:hAnsi="楷体" w:eastAsia="楷体" w:cs="楷体"/>
          <w:color w:val="000000"/>
          <w:sz w:val="28"/>
          <w:szCs w:val="28"/>
        </w:rPr>
      </w:pPr>
    </w:p>
    <w:p>
      <w:pPr>
        <w:rPr>
          <w:rFonts w:ascii="楷体" w:hAnsi="楷体" w:eastAsia="楷体" w:cs="楷体"/>
          <w:color w:val="000000"/>
          <w:sz w:val="28"/>
          <w:szCs w:val="28"/>
        </w:rPr>
      </w:pPr>
    </w:p>
    <w:p>
      <w:pPr>
        <w:rPr>
          <w:rFonts w:ascii="楷体" w:hAnsi="楷体" w:eastAsia="楷体" w:cs="楷体"/>
          <w:color w:val="000000"/>
          <w:sz w:val="28"/>
          <w:szCs w:val="28"/>
        </w:rPr>
      </w:pPr>
    </w:p>
    <w:p>
      <w:pPr>
        <w:rPr>
          <w:rFonts w:ascii="楷体" w:hAnsi="楷体" w:eastAsia="楷体" w:cs="楷体"/>
          <w:color w:val="000000"/>
          <w:sz w:val="28"/>
          <w:szCs w:val="28"/>
        </w:rPr>
      </w:pPr>
    </w:p>
    <w:p>
      <w:pPr>
        <w:rPr>
          <w:rFonts w:ascii="楷体" w:hAnsi="楷体" w:eastAsia="楷体" w:cs="楷体"/>
          <w:color w:val="000000"/>
          <w:sz w:val="28"/>
          <w:szCs w:val="28"/>
        </w:rPr>
      </w:pPr>
    </w:p>
    <w:p>
      <w:pPr>
        <w:rPr>
          <w:rFonts w:ascii="楷体" w:hAnsi="楷体" w:eastAsia="楷体" w:cs="楷体"/>
          <w:color w:val="000000"/>
          <w:sz w:val="28"/>
          <w:szCs w:val="28"/>
        </w:rPr>
      </w:pPr>
    </w:p>
    <w:p>
      <w:pPr>
        <w:rPr>
          <w:rFonts w:ascii="楷体" w:hAnsi="楷体" w:eastAsia="楷体" w:cs="楷体"/>
          <w:color w:val="000000"/>
          <w:sz w:val="28"/>
          <w:szCs w:val="28"/>
        </w:rPr>
      </w:pPr>
      <w:r>
        <w:rPr>
          <w:rFonts w:hint="eastAsia" w:ascii="楷体" w:hAnsi="楷体" w:eastAsia="楷体" w:cs="楷体"/>
          <w:color w:val="000000"/>
          <w:sz w:val="28"/>
          <w:szCs w:val="28"/>
        </w:rPr>
        <w:t xml:space="preserve">投标人（公章）： </w:t>
      </w:r>
    </w:p>
    <w:p>
      <w:pPr>
        <w:rPr>
          <w:rFonts w:ascii="楷体" w:hAnsi="楷体" w:eastAsia="楷体" w:cs="楷体"/>
          <w:color w:val="000000"/>
          <w:sz w:val="28"/>
          <w:szCs w:val="28"/>
        </w:rPr>
      </w:pPr>
      <w:r>
        <w:rPr>
          <w:rFonts w:hint="eastAsia" w:ascii="楷体" w:hAnsi="楷体" w:eastAsia="楷体" w:cs="楷体"/>
          <w:color w:val="000000"/>
          <w:sz w:val="28"/>
          <w:szCs w:val="28"/>
        </w:rPr>
        <w:t xml:space="preserve">法定代表人或其授权委托人： </w:t>
      </w:r>
    </w:p>
    <w:p>
      <w:pPr>
        <w:rPr>
          <w:rFonts w:ascii="楷体" w:hAnsi="楷体" w:eastAsia="楷体" w:cs="楷体"/>
          <w:color w:val="000000"/>
          <w:sz w:val="28"/>
          <w:szCs w:val="28"/>
        </w:rPr>
      </w:pPr>
      <w:r>
        <w:rPr>
          <w:rFonts w:hint="eastAsia" w:ascii="楷体" w:hAnsi="楷体" w:eastAsia="楷体" w:cs="楷体"/>
          <w:color w:val="000000"/>
          <w:sz w:val="28"/>
          <w:szCs w:val="28"/>
        </w:rPr>
        <w:t>日期：    年   月  日</w:t>
      </w:r>
    </w:p>
    <w:p>
      <w:pPr>
        <w:rPr>
          <w:rFonts w:ascii="楷体" w:hAnsi="楷体" w:eastAsia="楷体" w:cs="楷体"/>
          <w:color w:val="000000"/>
          <w:sz w:val="28"/>
          <w:szCs w:val="28"/>
        </w:rPr>
      </w:pPr>
    </w:p>
    <w:p>
      <w:pPr>
        <w:rPr>
          <w:rFonts w:ascii="楷体" w:hAnsi="楷体" w:eastAsia="楷体" w:cs="楷体"/>
          <w:color w:val="000000"/>
          <w:sz w:val="44"/>
          <w:szCs w:val="44"/>
        </w:rPr>
      </w:pPr>
      <w:r>
        <w:rPr>
          <w:rFonts w:hint="eastAsia" w:ascii="楷体" w:hAnsi="楷体" w:eastAsia="楷体" w:cs="楷体"/>
          <w:color w:val="000000"/>
          <w:sz w:val="28"/>
          <w:szCs w:val="28"/>
        </w:rPr>
        <w:t>附件5：</w:t>
      </w:r>
    </w:p>
    <w:p>
      <w:pPr>
        <w:jc w:val="center"/>
        <w:rPr>
          <w:rFonts w:ascii="楷体" w:hAnsi="楷体" w:eastAsia="楷体" w:cs="楷体"/>
          <w:color w:val="000000"/>
          <w:sz w:val="44"/>
          <w:szCs w:val="44"/>
        </w:rPr>
      </w:pPr>
      <w:r>
        <w:rPr>
          <w:rFonts w:hint="eastAsia" w:ascii="楷体" w:hAnsi="楷体" w:eastAsia="楷体" w:cs="楷体"/>
          <w:color w:val="000000"/>
          <w:sz w:val="44"/>
          <w:szCs w:val="44"/>
        </w:rPr>
        <w:t>法定代表人资格证明书</w:t>
      </w:r>
    </w:p>
    <w:p>
      <w:pPr>
        <w:jc w:val="center"/>
        <w:rPr>
          <w:rFonts w:ascii="楷体" w:hAnsi="楷体" w:eastAsia="楷体" w:cs="楷体"/>
          <w:color w:val="000000"/>
          <w:sz w:val="44"/>
          <w:szCs w:val="44"/>
        </w:rPr>
      </w:pPr>
    </w:p>
    <w:p>
      <w:pPr>
        <w:rPr>
          <w:rFonts w:ascii="楷体" w:hAnsi="楷体" w:eastAsia="楷体" w:cs="楷体"/>
          <w:color w:val="000000"/>
          <w:sz w:val="28"/>
          <w:szCs w:val="28"/>
        </w:rPr>
      </w:pPr>
      <w:r>
        <w:rPr>
          <w:rFonts w:hint="eastAsia" w:ascii="楷体" w:hAnsi="楷体" w:eastAsia="楷体" w:cs="楷体"/>
          <w:color w:val="000000"/>
          <w:sz w:val="28"/>
          <w:szCs w:val="28"/>
        </w:rPr>
        <w:t>单位名称：</w:t>
      </w:r>
    </w:p>
    <w:p>
      <w:pPr>
        <w:rPr>
          <w:rFonts w:ascii="楷体" w:hAnsi="楷体" w:eastAsia="楷体" w:cs="楷体"/>
          <w:color w:val="000000"/>
          <w:sz w:val="28"/>
          <w:szCs w:val="28"/>
        </w:rPr>
      </w:pPr>
      <w:r>
        <w:rPr>
          <w:rFonts w:hint="eastAsia" w:ascii="楷体" w:hAnsi="楷体" w:eastAsia="楷体" w:cs="楷体"/>
          <w:color w:val="000000"/>
          <w:sz w:val="28"/>
          <w:szCs w:val="28"/>
        </w:rPr>
        <w:t>地址：</w:t>
      </w:r>
    </w:p>
    <w:p>
      <w:pPr>
        <w:rPr>
          <w:rFonts w:ascii="楷体" w:hAnsi="楷体" w:eastAsia="楷体" w:cs="楷体"/>
          <w:color w:val="000000"/>
          <w:sz w:val="28"/>
          <w:szCs w:val="28"/>
        </w:rPr>
      </w:pPr>
      <w:r>
        <w:rPr>
          <w:rFonts w:hint="eastAsia" w:ascii="楷体" w:hAnsi="楷体" w:eastAsia="楷体" w:cs="楷体"/>
          <w:color w:val="000000"/>
          <w:sz w:val="28"/>
          <w:szCs w:val="28"/>
        </w:rPr>
        <w:t xml:space="preserve">姓名：      </w:t>
      </w:r>
    </w:p>
    <w:p>
      <w:pPr>
        <w:rPr>
          <w:rFonts w:ascii="楷体" w:hAnsi="楷体" w:eastAsia="楷体" w:cs="楷体"/>
          <w:color w:val="000000"/>
          <w:sz w:val="28"/>
          <w:szCs w:val="28"/>
        </w:rPr>
      </w:pPr>
      <w:r>
        <w:rPr>
          <w:rFonts w:hint="eastAsia" w:ascii="楷体" w:hAnsi="楷体" w:eastAsia="楷体" w:cs="楷体"/>
          <w:color w:val="000000"/>
          <w:sz w:val="28"/>
          <w:szCs w:val="28"/>
        </w:rPr>
        <w:t xml:space="preserve">性别： </w:t>
      </w:r>
    </w:p>
    <w:p>
      <w:pPr>
        <w:rPr>
          <w:rFonts w:ascii="楷体" w:hAnsi="楷体" w:eastAsia="楷体" w:cs="楷体"/>
          <w:color w:val="000000"/>
          <w:sz w:val="28"/>
          <w:szCs w:val="28"/>
        </w:rPr>
      </w:pPr>
      <w:r>
        <w:rPr>
          <w:rFonts w:hint="eastAsia" w:ascii="楷体" w:hAnsi="楷体" w:eastAsia="楷体" w:cs="楷体"/>
          <w:color w:val="000000"/>
          <w:sz w:val="28"/>
          <w:szCs w:val="28"/>
        </w:rPr>
        <w:t>年龄：</w:t>
      </w:r>
    </w:p>
    <w:p>
      <w:pPr>
        <w:rPr>
          <w:rFonts w:ascii="楷体" w:hAnsi="楷体" w:eastAsia="楷体" w:cs="楷体"/>
          <w:color w:val="000000"/>
          <w:sz w:val="28"/>
          <w:szCs w:val="28"/>
        </w:rPr>
      </w:pPr>
      <w:r>
        <w:rPr>
          <w:rFonts w:hint="eastAsia" w:ascii="楷体" w:hAnsi="楷体" w:eastAsia="楷体" w:cs="楷体"/>
          <w:color w:val="000000"/>
          <w:sz w:val="28"/>
          <w:szCs w:val="28"/>
        </w:rPr>
        <w:t>职务：</w:t>
      </w:r>
    </w:p>
    <w:p>
      <w:pPr>
        <w:rPr>
          <w:rFonts w:ascii="楷体" w:hAnsi="楷体" w:eastAsia="楷体" w:cs="楷体"/>
          <w:color w:val="000000"/>
          <w:sz w:val="28"/>
          <w:szCs w:val="28"/>
        </w:rPr>
      </w:pPr>
      <w:r>
        <w:rPr>
          <w:rFonts w:hint="eastAsia" w:ascii="楷体" w:hAnsi="楷体" w:eastAsia="楷体" w:cs="楷体"/>
          <w:color w:val="000000"/>
          <w:sz w:val="28"/>
          <w:szCs w:val="28"/>
        </w:rPr>
        <w:t>身份证号码：</w:t>
      </w:r>
    </w:p>
    <w:p>
      <w:pPr>
        <w:rPr>
          <w:rFonts w:ascii="楷体" w:hAnsi="楷体" w:eastAsia="楷体" w:cs="楷体"/>
          <w:color w:val="000000"/>
          <w:sz w:val="28"/>
          <w:szCs w:val="28"/>
        </w:rPr>
      </w:pPr>
    </w:p>
    <w:p>
      <w:pPr>
        <w:ind w:firstLine="560" w:firstLineChars="200"/>
        <w:rPr>
          <w:rFonts w:ascii="楷体" w:hAnsi="楷体" w:eastAsia="楷体" w:cs="楷体"/>
          <w:color w:val="000000"/>
          <w:sz w:val="28"/>
          <w:szCs w:val="28"/>
          <w:u w:val="single"/>
        </w:rPr>
      </w:pPr>
      <w:r>
        <w:rPr>
          <w:rFonts w:hint="eastAsia" w:ascii="楷体" w:hAnsi="楷体" w:eastAsia="楷体" w:cs="楷体"/>
          <w:color w:val="000000"/>
          <w:sz w:val="28"/>
          <w:szCs w:val="28"/>
        </w:rPr>
        <w:t>本人系</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的法定代表人。</w:t>
      </w:r>
      <w:r>
        <w:rPr>
          <w:rFonts w:hint="eastAsia" w:ascii="楷体" w:hAnsi="楷体" w:eastAsia="楷体" w:cs="楷体"/>
          <w:color w:val="000000"/>
          <w:sz w:val="28"/>
          <w:szCs w:val="28"/>
          <w:u w:val="single"/>
        </w:rPr>
        <w:t>就北京市大龙伟业房地产开发股份有限公司2024年度财务报表审计、2024年度财务报表内部控制审计会计师事务所选聘项目</w:t>
      </w:r>
      <w:r>
        <w:rPr>
          <w:rFonts w:hint="eastAsia" w:ascii="楷体" w:hAnsi="楷体" w:eastAsia="楷体" w:cs="楷体"/>
          <w:color w:val="000000"/>
          <w:sz w:val="28"/>
          <w:szCs w:val="28"/>
        </w:rPr>
        <w:t>，签署上述的响应文件、进行合同谈判、签署合同和处理与之有关的一切事务。</w:t>
      </w:r>
    </w:p>
    <w:p>
      <w:pPr>
        <w:rPr>
          <w:rFonts w:ascii="楷体" w:hAnsi="楷体" w:eastAsia="楷体" w:cs="楷体"/>
          <w:color w:val="000000"/>
          <w:sz w:val="28"/>
          <w:szCs w:val="28"/>
        </w:rPr>
      </w:pPr>
    </w:p>
    <w:p>
      <w:pPr>
        <w:rPr>
          <w:rFonts w:ascii="楷体" w:hAnsi="楷体" w:eastAsia="楷体" w:cs="楷体"/>
          <w:color w:val="000000"/>
          <w:sz w:val="28"/>
          <w:szCs w:val="28"/>
        </w:rPr>
      </w:pPr>
      <w:r>
        <w:rPr>
          <w:rFonts w:hint="eastAsia" w:ascii="楷体" w:hAnsi="楷体" w:eastAsia="楷体" w:cs="楷体"/>
          <w:color w:val="000000"/>
          <w:sz w:val="28"/>
          <w:szCs w:val="28"/>
        </w:rPr>
        <w:t>特此证明。</w:t>
      </w:r>
    </w:p>
    <w:p>
      <w:pPr>
        <w:rPr>
          <w:rFonts w:ascii="楷体" w:hAnsi="楷体" w:eastAsia="楷体" w:cs="楷体"/>
          <w:color w:val="000000"/>
          <w:sz w:val="28"/>
          <w:szCs w:val="28"/>
        </w:rPr>
      </w:pPr>
    </w:p>
    <w:p>
      <w:pPr>
        <w:rPr>
          <w:rFonts w:ascii="楷体" w:hAnsi="楷体" w:eastAsia="楷体" w:cs="楷体"/>
          <w:color w:val="000000"/>
          <w:sz w:val="28"/>
          <w:szCs w:val="28"/>
        </w:rPr>
      </w:pPr>
      <w:r>
        <w:rPr>
          <w:rFonts w:hint="eastAsia" w:ascii="楷体" w:hAnsi="楷体" w:eastAsia="楷体" w:cs="楷体"/>
          <w:color w:val="000000"/>
          <w:sz w:val="28"/>
          <w:szCs w:val="28"/>
        </w:rPr>
        <w:t xml:space="preserve">投标人（公章）： </w:t>
      </w:r>
    </w:p>
    <w:p>
      <w:pPr>
        <w:rPr>
          <w:rFonts w:ascii="楷体" w:hAnsi="楷体" w:eastAsia="楷体" w:cs="楷体"/>
          <w:color w:val="000000"/>
          <w:sz w:val="28"/>
          <w:szCs w:val="28"/>
        </w:rPr>
      </w:pPr>
    </w:p>
    <w:p>
      <w:pPr>
        <w:rPr>
          <w:rFonts w:ascii="楷体" w:hAnsi="楷体" w:eastAsia="楷体" w:cs="楷体"/>
          <w:color w:val="000000"/>
          <w:sz w:val="28"/>
          <w:szCs w:val="28"/>
        </w:rPr>
      </w:pPr>
      <w:r>
        <w:rPr>
          <w:rFonts w:hint="eastAsia" w:ascii="楷体" w:hAnsi="楷体" w:eastAsia="楷体" w:cs="楷体"/>
          <w:color w:val="000000"/>
          <w:sz w:val="28"/>
          <w:szCs w:val="28"/>
        </w:rPr>
        <w:t>日期： 年 月 日</w:t>
      </w:r>
    </w:p>
    <w:p>
      <w:pPr>
        <w:rPr>
          <w:rFonts w:ascii="楷体" w:hAnsi="楷体" w:eastAsia="楷体" w:cs="楷体"/>
          <w:color w:val="000000"/>
          <w:sz w:val="28"/>
          <w:szCs w:val="28"/>
        </w:rPr>
      </w:pPr>
    </w:p>
    <w:p>
      <w:pPr>
        <w:rPr>
          <w:rFonts w:ascii="楷体" w:hAnsi="楷体" w:eastAsia="楷体" w:cs="楷体"/>
          <w:color w:val="000000"/>
          <w:sz w:val="28"/>
          <w:szCs w:val="28"/>
        </w:rPr>
      </w:pPr>
      <w:r>
        <w:rPr>
          <w:rFonts w:hint="eastAsia" w:ascii="楷体" w:hAnsi="楷体" w:eastAsia="楷体" w:cs="楷体"/>
          <w:color w:val="000000"/>
          <w:sz w:val="28"/>
          <w:szCs w:val="28"/>
        </w:rPr>
        <w:t>附件6：</w:t>
      </w:r>
    </w:p>
    <w:p>
      <w:pPr>
        <w:tabs>
          <w:tab w:val="left" w:pos="453"/>
          <w:tab w:val="center" w:pos="4213"/>
        </w:tabs>
        <w:jc w:val="left"/>
        <w:rPr>
          <w:rFonts w:ascii="楷体" w:hAnsi="楷体" w:eastAsia="楷体" w:cs="楷体"/>
          <w:color w:val="000000"/>
          <w:sz w:val="44"/>
          <w:szCs w:val="44"/>
        </w:rPr>
      </w:pPr>
      <w:r>
        <w:rPr>
          <w:rFonts w:hint="eastAsia" w:ascii="楷体" w:hAnsi="楷体" w:eastAsia="楷体" w:cs="楷体"/>
          <w:color w:val="000000"/>
          <w:sz w:val="44"/>
          <w:szCs w:val="44"/>
        </w:rPr>
        <w:tab/>
      </w:r>
      <w:r>
        <w:rPr>
          <w:rFonts w:hint="eastAsia" w:ascii="楷体" w:hAnsi="楷体" w:eastAsia="楷体" w:cs="楷体"/>
          <w:color w:val="000000"/>
          <w:sz w:val="44"/>
          <w:szCs w:val="44"/>
        </w:rPr>
        <w:tab/>
      </w:r>
      <w:r>
        <w:rPr>
          <w:rFonts w:hint="eastAsia" w:ascii="楷体" w:hAnsi="楷体" w:eastAsia="楷体" w:cs="楷体"/>
          <w:color w:val="000000"/>
          <w:sz w:val="44"/>
          <w:szCs w:val="44"/>
        </w:rPr>
        <w:t>授权委托书</w:t>
      </w:r>
    </w:p>
    <w:p>
      <w:pPr>
        <w:jc w:val="center"/>
        <w:rPr>
          <w:rFonts w:ascii="楷体" w:hAnsi="楷体" w:eastAsia="楷体" w:cs="楷体"/>
          <w:color w:val="000000"/>
          <w:sz w:val="44"/>
          <w:szCs w:val="44"/>
        </w:rPr>
      </w:pPr>
    </w:p>
    <w:p>
      <w:p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本授权书声明：注册于</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的</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公司的</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（被授权人的姓名、职务）为本公司的合法代理人，</w:t>
      </w:r>
      <w:r>
        <w:rPr>
          <w:rFonts w:hint="eastAsia" w:ascii="楷体" w:hAnsi="楷体" w:eastAsia="楷体" w:cs="楷体"/>
          <w:color w:val="000000"/>
          <w:sz w:val="28"/>
          <w:szCs w:val="28"/>
          <w:u w:val="single"/>
        </w:rPr>
        <w:t>就北京市大龙伟业房地产开发股份有限公司2024年度财务报表审计、2024年度财务报表内部控制审计会计师事务所选聘项目</w:t>
      </w:r>
      <w:r>
        <w:rPr>
          <w:rFonts w:hint="eastAsia" w:ascii="楷体" w:hAnsi="楷体" w:eastAsia="楷体" w:cs="楷体"/>
          <w:color w:val="000000"/>
          <w:sz w:val="28"/>
          <w:szCs w:val="28"/>
        </w:rPr>
        <w:t>的合同投标及合同的执行、完成和服务承诺，以本公司名义处理一切有关的事务，本公司承担其行为所带来的一切法律后果。</w:t>
      </w:r>
    </w:p>
    <w:p>
      <w:pPr>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本授权书于</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年</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月</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日签字生效，无转委权，特此声明。</w:t>
      </w:r>
    </w:p>
    <w:p>
      <w:pPr>
        <w:rPr>
          <w:rFonts w:ascii="楷体" w:hAnsi="楷体" w:eastAsia="楷体" w:cs="楷体"/>
          <w:color w:val="000000"/>
          <w:sz w:val="28"/>
          <w:szCs w:val="28"/>
        </w:rPr>
      </w:pPr>
    </w:p>
    <w:p>
      <w:pPr>
        <w:rPr>
          <w:rFonts w:ascii="楷体" w:hAnsi="楷体" w:eastAsia="楷体" w:cs="楷体"/>
          <w:color w:val="000000"/>
          <w:sz w:val="28"/>
          <w:szCs w:val="28"/>
        </w:rPr>
      </w:pPr>
      <w:r>
        <w:rPr>
          <w:rFonts w:hint="eastAsia" w:ascii="楷体" w:hAnsi="楷体" w:eastAsia="楷体" w:cs="楷体"/>
          <w:color w:val="000000"/>
          <w:sz w:val="28"/>
          <w:szCs w:val="28"/>
        </w:rPr>
        <w:t xml:space="preserve">法定代表人签字： </w:t>
      </w:r>
    </w:p>
    <w:p>
      <w:pPr>
        <w:rPr>
          <w:rFonts w:ascii="楷体" w:hAnsi="楷体" w:eastAsia="楷体" w:cs="楷体"/>
          <w:color w:val="000000"/>
          <w:sz w:val="28"/>
          <w:szCs w:val="28"/>
        </w:rPr>
      </w:pPr>
      <w:r>
        <w:rPr>
          <w:rFonts w:hint="eastAsia" w:ascii="楷体" w:hAnsi="楷体" w:eastAsia="楷体" w:cs="楷体"/>
          <w:color w:val="000000"/>
          <w:sz w:val="28"/>
          <w:szCs w:val="28"/>
        </w:rPr>
        <w:t xml:space="preserve">代理人（被授权人）签字： </w:t>
      </w:r>
    </w:p>
    <w:p>
      <w:pPr>
        <w:rPr>
          <w:rFonts w:ascii="楷体" w:hAnsi="楷体" w:eastAsia="楷体" w:cs="楷体"/>
          <w:color w:val="000000"/>
          <w:sz w:val="28"/>
          <w:szCs w:val="28"/>
        </w:rPr>
      </w:pPr>
      <w:r>
        <w:rPr>
          <w:rFonts w:hint="eastAsia" w:ascii="楷体" w:hAnsi="楷体" w:eastAsia="楷体" w:cs="楷体"/>
          <w:color w:val="000000"/>
          <w:sz w:val="28"/>
          <w:szCs w:val="28"/>
        </w:rPr>
        <w:t xml:space="preserve">代理人（被授权人）身份证号码： </w:t>
      </w:r>
    </w:p>
    <w:p>
      <w:pPr>
        <w:rPr>
          <w:rFonts w:ascii="楷体" w:hAnsi="楷体" w:eastAsia="楷体" w:cs="楷体"/>
          <w:color w:val="000000"/>
          <w:sz w:val="28"/>
          <w:szCs w:val="28"/>
        </w:rPr>
      </w:pPr>
      <w:r>
        <w:rPr>
          <w:rFonts w:hint="eastAsia" w:ascii="楷体" w:hAnsi="楷体" w:eastAsia="楷体" w:cs="楷体"/>
          <w:color w:val="000000"/>
          <w:sz w:val="28"/>
          <w:szCs w:val="28"/>
        </w:rPr>
        <w:t xml:space="preserve">被授权人职务： </w:t>
      </w:r>
    </w:p>
    <w:p>
      <w:pPr>
        <w:rPr>
          <w:rFonts w:ascii="楷体" w:hAnsi="楷体" w:eastAsia="楷体" w:cs="楷体"/>
          <w:color w:val="000000"/>
          <w:sz w:val="28"/>
          <w:szCs w:val="28"/>
        </w:rPr>
      </w:pPr>
      <w:r>
        <w:rPr>
          <w:rFonts w:hint="eastAsia" w:ascii="楷体" w:hAnsi="楷体" w:eastAsia="楷体" w:cs="楷体"/>
          <w:color w:val="000000"/>
          <w:sz w:val="28"/>
          <w:szCs w:val="28"/>
        </w:rPr>
        <w:t xml:space="preserve">被授权人单位名称、电话： </w:t>
      </w:r>
    </w:p>
    <w:p>
      <w:pPr>
        <w:rPr>
          <w:rFonts w:ascii="楷体" w:hAnsi="楷体" w:eastAsia="楷体" w:cs="楷体"/>
          <w:color w:val="000000"/>
          <w:sz w:val="28"/>
          <w:szCs w:val="28"/>
        </w:rPr>
      </w:pPr>
      <w:r>
        <w:rPr>
          <w:rFonts w:hint="eastAsia" w:ascii="楷体" w:hAnsi="楷体" w:eastAsia="楷体" w:cs="楷体"/>
          <w:color w:val="000000"/>
          <w:sz w:val="28"/>
          <w:szCs w:val="28"/>
        </w:rPr>
        <w:t xml:space="preserve">被授权人单位地址： </w:t>
      </w:r>
    </w:p>
    <w:p>
      <w:pPr>
        <w:rPr>
          <w:rFonts w:ascii="楷体" w:hAnsi="楷体" w:eastAsia="楷体" w:cs="楷体"/>
          <w:color w:val="000000"/>
          <w:sz w:val="28"/>
          <w:szCs w:val="28"/>
        </w:rPr>
      </w:pPr>
      <w:r>
        <w:rPr>
          <w:rFonts w:hint="eastAsia" w:ascii="楷体" w:hAnsi="楷体" w:eastAsia="楷体" w:cs="楷体"/>
          <w:color w:val="000000"/>
          <w:sz w:val="28"/>
          <w:szCs w:val="28"/>
        </w:rPr>
        <w:t>投标人（公章）：</w:t>
      </w:r>
    </w:p>
    <w:p>
      <w:pPr>
        <w:rPr>
          <w:rFonts w:ascii="楷体" w:hAnsi="楷体" w:eastAsia="楷体" w:cs="楷体"/>
          <w:color w:val="000000"/>
          <w:sz w:val="28"/>
          <w:szCs w:val="28"/>
        </w:rPr>
      </w:pPr>
    </w:p>
    <w:p>
      <w:pPr>
        <w:rPr>
          <w:rFonts w:ascii="楷体" w:hAnsi="楷体" w:eastAsia="楷体" w:cs="楷体"/>
          <w:color w:val="000000"/>
          <w:sz w:val="28"/>
          <w:szCs w:val="28"/>
        </w:rPr>
      </w:pPr>
    </w:p>
    <w:p>
      <w:pPr>
        <w:rPr>
          <w:rFonts w:ascii="楷体" w:hAnsi="楷体" w:eastAsia="楷体" w:cs="楷体"/>
          <w:color w:val="000000"/>
          <w:sz w:val="28"/>
          <w:szCs w:val="28"/>
        </w:rPr>
      </w:pPr>
    </w:p>
    <w:p>
      <w:pPr>
        <w:rPr>
          <w:rFonts w:ascii="楷体" w:hAnsi="楷体" w:eastAsia="楷体" w:cs="楷体"/>
          <w:color w:val="000000"/>
          <w:sz w:val="28"/>
          <w:szCs w:val="28"/>
        </w:rPr>
      </w:pPr>
    </w:p>
    <w:p>
      <w:pPr>
        <w:rPr>
          <w:rFonts w:ascii="楷体" w:hAnsi="楷体" w:eastAsia="楷体" w:cs="楷体"/>
          <w:color w:val="000000"/>
          <w:sz w:val="28"/>
          <w:szCs w:val="28"/>
        </w:rPr>
      </w:pPr>
    </w:p>
    <w:p>
      <w:pPr>
        <w:rPr>
          <w:rFonts w:ascii="楷体" w:hAnsi="楷体" w:eastAsia="楷体" w:cs="楷体"/>
          <w:color w:val="000000"/>
          <w:sz w:val="28"/>
          <w:szCs w:val="28"/>
        </w:rPr>
      </w:pPr>
      <w:r>
        <w:rPr>
          <w:rFonts w:hint="eastAsia" w:ascii="楷体" w:hAnsi="楷体" w:eastAsia="楷体" w:cs="楷体"/>
          <w:color w:val="000000"/>
          <w:sz w:val="28"/>
          <w:szCs w:val="28"/>
        </w:rPr>
        <w:t>附件7：</w:t>
      </w:r>
    </w:p>
    <w:p>
      <w:pPr>
        <w:pStyle w:val="2"/>
        <w:jc w:val="center"/>
        <w:rPr>
          <w:rFonts w:ascii="楷体" w:hAnsi="楷体" w:eastAsia="楷体" w:cs="楷体"/>
          <w:bCs/>
          <w:color w:val="000000"/>
        </w:rPr>
      </w:pPr>
      <w:r>
        <w:rPr>
          <w:rFonts w:hint="eastAsia" w:ascii="楷体" w:hAnsi="楷体" w:eastAsia="楷体" w:cs="楷体"/>
          <w:bCs/>
          <w:color w:val="000000"/>
        </w:rPr>
        <w:t>服务承诺书（格式）</w:t>
      </w:r>
    </w:p>
    <w:p>
      <w:pPr>
        <w:pStyle w:val="5"/>
        <w:spacing w:line="360" w:lineRule="auto"/>
        <w:jc w:val="center"/>
        <w:rPr>
          <w:rFonts w:ascii="楷体" w:hAnsi="楷体" w:eastAsia="楷体" w:cs="楷体"/>
          <w:color w:val="000000"/>
          <w:sz w:val="28"/>
          <w:szCs w:val="28"/>
        </w:rPr>
      </w:pPr>
      <w:r>
        <w:rPr>
          <w:rFonts w:hint="eastAsia" w:ascii="楷体" w:hAnsi="楷体" w:eastAsia="楷体" w:cs="楷体"/>
          <w:color w:val="000000"/>
          <w:sz w:val="28"/>
          <w:szCs w:val="28"/>
        </w:rPr>
        <w:t>(由报价人按所投项目售后服务和要求自行分别填写)</w:t>
      </w:r>
    </w:p>
    <w:p>
      <w:pPr>
        <w:pStyle w:val="5"/>
        <w:jc w:val="center"/>
        <w:rPr>
          <w:rFonts w:ascii="楷体" w:hAnsi="楷体" w:eastAsia="楷体" w:cs="楷体"/>
          <w:color w:val="000000"/>
        </w:rPr>
      </w:pPr>
    </w:p>
    <w:p>
      <w:pPr>
        <w:pStyle w:val="5"/>
        <w:spacing w:line="360" w:lineRule="auto"/>
        <w:jc w:val="center"/>
        <w:rPr>
          <w:rFonts w:ascii="楷体" w:hAnsi="楷体" w:eastAsia="楷体" w:cs="楷体"/>
          <w:color w:val="000000"/>
          <w:sz w:val="28"/>
          <w:szCs w:val="28"/>
        </w:rPr>
      </w:pPr>
    </w:p>
    <w:p>
      <w:pPr>
        <w:pStyle w:val="5"/>
        <w:rPr>
          <w:rFonts w:ascii="楷体" w:hAnsi="楷体" w:eastAsia="楷体" w:cs="楷体"/>
          <w:color w:val="000000"/>
        </w:rPr>
      </w:pPr>
    </w:p>
    <w:p>
      <w:pPr>
        <w:pStyle w:val="5"/>
        <w:rPr>
          <w:rFonts w:ascii="楷体" w:hAnsi="楷体" w:eastAsia="楷体" w:cs="楷体"/>
          <w:color w:val="000000"/>
        </w:rPr>
      </w:pPr>
    </w:p>
    <w:p>
      <w:pPr>
        <w:pStyle w:val="5"/>
        <w:rPr>
          <w:rFonts w:ascii="楷体" w:hAnsi="楷体" w:eastAsia="楷体" w:cs="楷体"/>
          <w:color w:val="000000"/>
        </w:rPr>
      </w:pPr>
    </w:p>
    <w:p>
      <w:pPr>
        <w:pStyle w:val="5"/>
        <w:rPr>
          <w:rFonts w:ascii="楷体" w:hAnsi="楷体" w:eastAsia="楷体" w:cs="楷体"/>
          <w:color w:val="000000"/>
        </w:rPr>
      </w:pPr>
    </w:p>
    <w:p>
      <w:pPr>
        <w:pStyle w:val="5"/>
        <w:rPr>
          <w:rFonts w:ascii="楷体" w:hAnsi="楷体" w:eastAsia="楷体" w:cs="楷体"/>
          <w:color w:val="000000"/>
        </w:rPr>
      </w:pPr>
    </w:p>
    <w:p>
      <w:pPr>
        <w:pStyle w:val="5"/>
        <w:rPr>
          <w:rFonts w:ascii="楷体" w:hAnsi="楷体" w:eastAsia="楷体" w:cs="楷体"/>
          <w:color w:val="000000"/>
        </w:rPr>
      </w:pPr>
    </w:p>
    <w:p>
      <w:pPr>
        <w:pStyle w:val="5"/>
        <w:rPr>
          <w:rFonts w:ascii="楷体" w:hAnsi="楷体" w:eastAsia="楷体" w:cs="楷体"/>
          <w:color w:val="000000"/>
        </w:rPr>
      </w:pPr>
    </w:p>
    <w:p>
      <w:pPr>
        <w:pStyle w:val="5"/>
        <w:rPr>
          <w:rFonts w:ascii="楷体" w:hAnsi="楷体" w:eastAsia="楷体" w:cs="楷体"/>
          <w:color w:val="000000"/>
        </w:rPr>
      </w:pPr>
    </w:p>
    <w:p>
      <w:pPr>
        <w:pStyle w:val="5"/>
        <w:rPr>
          <w:rFonts w:ascii="楷体" w:hAnsi="楷体" w:eastAsia="楷体" w:cs="楷体"/>
          <w:color w:val="000000"/>
        </w:rPr>
      </w:pPr>
    </w:p>
    <w:p>
      <w:pPr>
        <w:pStyle w:val="5"/>
        <w:rPr>
          <w:rFonts w:ascii="楷体" w:hAnsi="楷体" w:eastAsia="楷体" w:cs="楷体"/>
          <w:color w:val="000000"/>
        </w:rPr>
      </w:pPr>
    </w:p>
    <w:p>
      <w:pPr>
        <w:pStyle w:val="5"/>
        <w:rPr>
          <w:rFonts w:ascii="楷体" w:hAnsi="楷体" w:eastAsia="楷体" w:cs="楷体"/>
          <w:color w:val="000000"/>
        </w:rPr>
      </w:pPr>
    </w:p>
    <w:p>
      <w:pPr>
        <w:pStyle w:val="5"/>
        <w:rPr>
          <w:rFonts w:ascii="楷体" w:hAnsi="楷体" w:eastAsia="楷体" w:cs="楷体"/>
          <w:color w:val="000000"/>
        </w:rPr>
      </w:pPr>
    </w:p>
    <w:p>
      <w:pPr>
        <w:pStyle w:val="5"/>
        <w:rPr>
          <w:rFonts w:ascii="楷体" w:hAnsi="楷体" w:eastAsia="楷体" w:cs="楷体"/>
          <w:color w:val="000000"/>
        </w:rPr>
      </w:pPr>
    </w:p>
    <w:p>
      <w:pPr>
        <w:pStyle w:val="5"/>
        <w:rPr>
          <w:rFonts w:ascii="楷体" w:hAnsi="楷体" w:eastAsia="楷体" w:cs="楷体"/>
          <w:color w:val="000000"/>
        </w:rPr>
      </w:pPr>
    </w:p>
    <w:p>
      <w:pPr>
        <w:pStyle w:val="5"/>
        <w:rPr>
          <w:rFonts w:ascii="楷体" w:hAnsi="楷体" w:eastAsia="楷体" w:cs="楷体"/>
          <w:color w:val="000000"/>
        </w:rPr>
      </w:pPr>
    </w:p>
    <w:p>
      <w:pPr>
        <w:pStyle w:val="5"/>
        <w:rPr>
          <w:rFonts w:ascii="楷体" w:hAnsi="楷体" w:eastAsia="楷体" w:cs="楷体"/>
          <w:color w:val="000000"/>
        </w:rPr>
      </w:pPr>
    </w:p>
    <w:p>
      <w:pPr>
        <w:spacing w:line="560" w:lineRule="exact"/>
        <w:ind w:firstLine="280" w:firstLineChars="100"/>
        <w:rPr>
          <w:rFonts w:ascii="楷体" w:hAnsi="楷体" w:eastAsia="楷体" w:cs="楷体"/>
          <w:color w:val="000000"/>
          <w:sz w:val="28"/>
          <w:szCs w:val="28"/>
        </w:rPr>
      </w:pPr>
      <w:r>
        <w:rPr>
          <w:rFonts w:hint="eastAsia" w:ascii="楷体" w:hAnsi="楷体" w:eastAsia="楷体" w:cs="楷体"/>
          <w:color w:val="000000"/>
          <w:sz w:val="28"/>
          <w:szCs w:val="28"/>
        </w:rPr>
        <w:t>报价人名称：（盖章）</w:t>
      </w:r>
    </w:p>
    <w:p>
      <w:pPr>
        <w:spacing w:line="500" w:lineRule="exact"/>
        <w:ind w:firstLine="280" w:firstLineChars="100"/>
        <w:rPr>
          <w:rFonts w:ascii="楷体" w:hAnsi="楷体" w:eastAsia="楷体" w:cs="楷体"/>
          <w:color w:val="000000"/>
          <w:sz w:val="28"/>
          <w:szCs w:val="28"/>
        </w:rPr>
      </w:pPr>
      <w:r>
        <w:rPr>
          <w:rFonts w:hint="eastAsia" w:ascii="楷体" w:hAnsi="楷体" w:eastAsia="楷体" w:cs="楷体"/>
          <w:color w:val="000000"/>
          <w:sz w:val="28"/>
          <w:szCs w:val="28"/>
        </w:rPr>
        <w:t>法定代表人或被授权人：</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签字）</w:t>
      </w:r>
    </w:p>
    <w:p>
      <w:pPr>
        <w:spacing w:line="500" w:lineRule="exact"/>
        <w:ind w:firstLine="280" w:firstLineChars="100"/>
        <w:rPr>
          <w:rFonts w:ascii="楷体" w:hAnsi="楷体" w:eastAsia="楷体" w:cs="楷体"/>
          <w:color w:val="000000"/>
          <w:sz w:val="28"/>
          <w:szCs w:val="28"/>
          <w:u w:val="single"/>
        </w:rPr>
      </w:pPr>
      <w:r>
        <w:rPr>
          <w:rFonts w:hint="eastAsia" w:ascii="楷体" w:hAnsi="楷体" w:eastAsia="楷体" w:cs="楷体"/>
          <w:color w:val="000000"/>
          <w:sz w:val="28"/>
          <w:szCs w:val="28"/>
        </w:rPr>
        <w:t>日    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872163"/>
    <w:multiLevelType w:val="singleLevel"/>
    <w:tmpl w:val="B7872163"/>
    <w:lvl w:ilvl="0" w:tentative="0">
      <w:start w:val="1"/>
      <w:numFmt w:val="decimal"/>
      <w:suff w:val="nothing"/>
      <w:lvlText w:val="%1．"/>
      <w:lvlJc w:val="left"/>
      <w:pPr>
        <w:ind w:left="0" w:firstLine="400"/>
      </w:pPr>
      <w:rPr>
        <w:rFonts w:hint="default"/>
      </w:rPr>
    </w:lvl>
  </w:abstractNum>
  <w:abstractNum w:abstractNumId="1">
    <w:nsid w:val="C3A54134"/>
    <w:multiLevelType w:val="singleLevel"/>
    <w:tmpl w:val="C3A54134"/>
    <w:lvl w:ilvl="0" w:tentative="0">
      <w:start w:val="1"/>
      <w:numFmt w:val="decimal"/>
      <w:suff w:val="nothing"/>
      <w:lvlText w:val="%1．"/>
      <w:lvlJc w:val="left"/>
      <w:pPr>
        <w:ind w:left="0" w:firstLine="400"/>
      </w:pPr>
      <w:rPr>
        <w:rFonts w:hint="default"/>
      </w:rPr>
    </w:lvl>
  </w:abstractNum>
  <w:abstractNum w:abstractNumId="2">
    <w:nsid w:val="D09D1F2E"/>
    <w:multiLevelType w:val="singleLevel"/>
    <w:tmpl w:val="D09D1F2E"/>
    <w:lvl w:ilvl="0" w:tentative="0">
      <w:start w:val="1"/>
      <w:numFmt w:val="decimal"/>
      <w:suff w:val="nothing"/>
      <w:lvlText w:val="%1．"/>
      <w:lvlJc w:val="left"/>
      <w:pPr>
        <w:ind w:left="26" w:firstLine="400"/>
      </w:pPr>
      <w:rPr>
        <w:rFonts w:hint="default"/>
      </w:rPr>
    </w:lvl>
  </w:abstractNum>
  <w:abstractNum w:abstractNumId="3">
    <w:nsid w:val="D99F5262"/>
    <w:multiLevelType w:val="singleLevel"/>
    <w:tmpl w:val="D99F5262"/>
    <w:lvl w:ilvl="0" w:tentative="0">
      <w:start w:val="1"/>
      <w:numFmt w:val="decimal"/>
      <w:suff w:val="nothing"/>
      <w:lvlText w:val="%1．"/>
      <w:lvlJc w:val="left"/>
      <w:pPr>
        <w:ind w:left="0" w:firstLine="400"/>
      </w:pPr>
      <w:rPr>
        <w:rFonts w:hint="default"/>
      </w:rPr>
    </w:lvl>
  </w:abstractNum>
  <w:abstractNum w:abstractNumId="4">
    <w:nsid w:val="56E7D1C4"/>
    <w:multiLevelType w:val="singleLevel"/>
    <w:tmpl w:val="56E7D1C4"/>
    <w:lvl w:ilvl="0" w:tentative="0">
      <w:start w:val="2"/>
      <w:numFmt w:val="decimal"/>
      <w:suff w:val="nothing"/>
      <w:lvlText w:val="%1、"/>
      <w:lvlJc w:val="left"/>
      <w:pPr>
        <w:ind w:left="-77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zZjgyNWRmYWQ1NjdmZDcwZWJlM2MxYTczODJlYTQifQ=="/>
  </w:docVars>
  <w:rsids>
    <w:rsidRoot w:val="080179AA"/>
    <w:rsid w:val="080179AA"/>
    <w:rsid w:val="7B912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3"/>
    <w:qFormat/>
    <w:uiPriority w:val="0"/>
    <w:pPr>
      <w:keepNext/>
      <w:keepLines/>
      <w:spacing w:line="500" w:lineRule="exact"/>
      <w:outlineLvl w:val="1"/>
    </w:pPr>
    <w:rPr>
      <w:rFonts w:ascii="Arial" w:hAnsi="Arial" w:eastAsia="黑体"/>
      <w:b/>
      <w:sz w:val="28"/>
    </w:rPr>
  </w:style>
  <w:style w:type="character" w:default="1" w:styleId="7">
    <w:name w:val="Default Paragraph Font"/>
    <w:semiHidden/>
    <w:uiPriority w:val="0"/>
  </w:style>
  <w:style w:type="table" w:default="1" w:styleId="6">
    <w:name w:val="Normal Table"/>
    <w:autoRedefine/>
    <w:semiHidden/>
    <w:uiPriority w:val="0"/>
    <w:tblPr>
      <w:tblCellMar>
        <w:top w:w="0" w:type="dxa"/>
        <w:left w:w="108" w:type="dxa"/>
        <w:bottom w:w="0" w:type="dxa"/>
        <w:right w:w="108" w:type="dxa"/>
      </w:tblCellMar>
    </w:tblPr>
  </w:style>
  <w:style w:type="paragraph" w:styleId="3">
    <w:name w:val="Normal Indent"/>
    <w:basedOn w:val="1"/>
    <w:qFormat/>
    <w:uiPriority w:val="0"/>
    <w:pPr>
      <w:ind w:firstLine="420"/>
    </w:pPr>
  </w:style>
  <w:style w:type="paragraph" w:styleId="4">
    <w:name w:val="List 2"/>
    <w:basedOn w:val="1"/>
    <w:qFormat/>
    <w:uiPriority w:val="0"/>
    <w:pPr>
      <w:ind w:left="100" w:leftChars="200" w:hanging="200" w:hangingChars="200"/>
    </w:pPr>
    <w:rPr>
      <w:rFonts w:ascii="Times New Roman" w:hAnsi="Times New Roman" w:cs="Times New Roman"/>
      <w:szCs w:val="24"/>
    </w:rPr>
  </w:style>
  <w:style w:type="paragraph" w:styleId="5">
    <w:name w:val="Plain Text"/>
    <w:basedOn w:val="1"/>
    <w:qFormat/>
    <w:uiPriority w:val="0"/>
    <w:rPr>
      <w:rFonts w:ascii="宋体" w:hAnsi="Courier New" w:cs="Courier New"/>
      <w:szCs w:val="21"/>
    </w:rPr>
  </w:style>
  <w:style w:type="character" w:styleId="8">
    <w:name w:val="annotation reference"/>
    <w:qFormat/>
    <w:uiPriority w:val="0"/>
    <w:rPr>
      <w:sz w:val="21"/>
      <w:szCs w:val="21"/>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2024-03-20T02:57:00Z</dcterms:created>
  <dc:creator>暖暖</dc:creator>
  <cp:lastModifiedBy>暖暖</cp:lastModifiedBy>
  <dcterms:modified xsi:type="dcterms:W3CDTF">2024-03-20T03:02:34Z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E381487D34FD4ACEB7ECC315E96890F6_11</vt:lpwstr>
  </property>
</Properties>
</file>